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425" w:lineRule="exact"/>
        <w:jc w:val="center"/>
      </w:pPr>
      <w:r>
        <w:rPr>
          <w:rFonts w:ascii="Arial" w:hAnsi="Arial" w:cs="Arial" w:eastAsia="Arial"/>
          <w:b/>
          <w:color w:val="000000"/>
          <w:sz w:val="34"/>
        </w:rPr>
        <w:t>Universidad Mariano Gálvez de Guatemala</w:t>
      </w:r>
    </w:p>
    <w:p>
      <w:pPr>
        <w:spacing w:before="0" w:after="0" w:line="275" w:lineRule="exact"/>
        <w:jc w:val="center"/>
      </w:pPr>
      <w:r>
        <w:rPr>
          <w:rFonts w:ascii="Arial" w:hAnsi="Arial" w:cs="Arial" w:eastAsia="Arial"/>
          <w:b w:val="0"/>
          <w:color w:val="000000"/>
          <w:sz w:val="22"/>
        </w:rPr>
        <w:t>Facultad de Ingeniería en Sistemas de Información</w:t>
      </w:r>
    </w:p>
    <w:p>
      <w:pPr>
        <w:spacing w:before="0" w:after="360" w:line="275" w:lineRule="exact"/>
        <w:jc w:val="center"/>
      </w:pPr>
      <w:r>
        <w:rPr>
          <w:rFonts w:ascii="Arial" w:hAnsi="Arial" w:cs="Arial" w:eastAsia="Arial"/>
          <w:b w:val="0"/>
          <w:color w:val="000000"/>
          <w:sz w:val="22"/>
        </w:rPr>
        <w:t>y Ciencias de la Computación</w:t>
      </w:r>
    </w:p>
    <w:p>
      <w:pPr>
        <w:spacing w:line="240" w:lineRule="auto" w:after="360"/>
        <w:jc w:val="center"/>
      </w:pPr>
      <w:r>
        <w:drawing>
          <wp:inline xmlns:a="http://schemas.openxmlformats.org/drawingml/2006/main" xmlns:pic="http://schemas.openxmlformats.org/drawingml/2006/picture">
            <wp:extent cx="2148840" cy="2151078"/>
            <wp:docPr id="1" name="Picture 1"/>
            <wp:cNvGraphicFramePr>
              <a:graphicFrameLocks noChangeAspect="1"/>
            </wp:cNvGraphicFramePr>
            <a:graphic>
              <a:graphicData uri="http://schemas.openxmlformats.org/drawingml/2006/picture">
                <pic:pic>
                  <pic:nvPicPr>
                    <pic:cNvPr id="0" name="escudo_circular.png"/>
                    <pic:cNvPicPr/>
                  </pic:nvPicPr>
                  <pic:blipFill>
                    <a:blip r:embed="rId10"/>
                    <a:stretch>
                      <a:fillRect/>
                    </a:stretch>
                  </pic:blipFill>
                  <pic:spPr>
                    <a:xfrm>
                      <a:off x="0" y="0"/>
                      <a:ext cx="2148840" cy="2151078"/>
                    </a:xfrm>
                    <a:prstGeom prst="rect"/>
                  </pic:spPr>
                </pic:pic>
              </a:graphicData>
            </a:graphic>
          </wp:inline>
        </w:drawing>
      </w:r>
    </w:p>
    <w:p>
      <w:pPr>
        <w:spacing w:before="0" w:after="240" w:line="250" w:lineRule="exact"/>
        <w:jc w:val="center"/>
      </w:pPr>
      <w:r>
        <w:rPr>
          <w:rFonts w:ascii="Arial" w:hAnsi="Arial" w:cs="Arial" w:eastAsia="Arial"/>
          <w:b/>
          <w:color w:val="000000"/>
          <w:sz w:val="20"/>
        </w:rPr>
        <w:t>ER-AFD  /  DOCUMENTO 01 DE 03</w:t>
      </w:r>
    </w:p>
    <w:p>
      <w:pPr>
        <w:pStyle w:val="Title"/>
        <w:spacing w:before="0" w:after="140" w:line="700" w:lineRule="exact"/>
        <w:jc w:val="center"/>
      </w:pPr>
      <w:r>
        <w:rPr>
          <w:rFonts w:ascii="Arial" w:hAnsi="Arial" w:cs="Arial" w:eastAsia="Arial"/>
          <w:b/>
          <w:color w:val="000000"/>
          <w:sz w:val="56"/>
        </w:rPr>
        <w:t>Reporte técnico</w:t>
      </w:r>
    </w:p>
    <w:p>
      <w:pPr>
        <w:pStyle w:val="Subtitle"/>
        <w:spacing w:before="0" w:after="140" w:line="350" w:lineRule="exact"/>
        <w:jc w:val="center"/>
      </w:pPr>
      <w:r>
        <w:rPr>
          <w:rFonts w:ascii="Arial" w:hAnsi="Arial" w:cs="Arial" w:eastAsia="Arial"/>
          <w:b w:val="0"/>
          <w:color w:val="000000"/>
          <w:sz w:val="28"/>
        </w:rPr>
        <w:t>Convertidor de expresiones regulares a AFD</w:t>
      </w:r>
    </w:p>
    <w:p>
      <w:pPr>
        <w:spacing w:before="0" w:after="640" w:line="275" w:lineRule="exact"/>
        <w:jc w:val="center"/>
      </w:pPr>
      <w:r>
        <w:rPr>
          <w:rFonts w:ascii="Arial" w:hAnsi="Arial" w:cs="Arial" w:eastAsia="Arial"/>
          <w:b w:val="0"/>
          <w:color w:val="000000"/>
          <w:sz w:val="22"/>
        </w:rPr>
        <w:t>Construcción explícita ER → AFND → AFD</w:t>
      </w:r>
    </w:p>
    <w:p>
      <w:pPr>
        <w:spacing w:before="0" w:after="160" w:line="225" w:lineRule="exact"/>
        <w:jc w:val="center"/>
      </w:pPr>
      <w:r>
        <w:rPr>
          <w:rFonts w:ascii="Arial" w:hAnsi="Arial" w:cs="Arial" w:eastAsia="Arial"/>
          <w:b w:val="0"/>
          <w:color w:val="000000"/>
          <w:sz w:val="18"/>
        </w:rPr>
        <w:t>PRESENTADO POR</w:t>
      </w:r>
    </w:p>
    <w:p>
      <w:pPr>
        <w:spacing w:before="0" w:after="180" w:line="375" w:lineRule="exact"/>
        <w:jc w:val="center"/>
      </w:pPr>
      <w:r>
        <w:rPr>
          <w:rFonts w:ascii="Arial" w:hAnsi="Arial" w:cs="Arial" w:eastAsia="Arial"/>
          <w:b/>
          <w:color w:val="000000"/>
          <w:sz w:val="30"/>
        </w:rPr>
        <w:t>SELVIN KLEBER GIRÓN ALVAREZ</w:t>
      </w:r>
    </w:p>
    <w:p>
      <w:pPr>
        <w:spacing w:before="0" w:after="900" w:line="275" w:lineRule="exact"/>
        <w:jc w:val="center"/>
      </w:pPr>
      <w:r>
        <w:rPr>
          <w:rFonts w:ascii="Arial" w:hAnsi="Arial" w:cs="Arial" w:eastAsia="Arial"/>
          <w:b w:val="0"/>
          <w:color w:val="000000"/>
          <w:sz w:val="22"/>
        </w:rPr>
        <w:t>Carné: 3190-15-15973</w:t>
      </w:r>
    </w:p>
    <w:p>
      <w:pPr>
        <w:spacing w:before="0" w:after="440" w:line="275" w:lineRule="exact"/>
        <w:jc w:val="center"/>
      </w:pPr>
      <w:r>
        <w:rPr>
          <w:rFonts w:ascii="Arial" w:hAnsi="Arial" w:cs="Arial" w:eastAsia="Arial"/>
          <w:b w:val="0"/>
          <w:color w:val="000000"/>
          <w:sz w:val="22"/>
        </w:rPr>
        <w:t>Guatemala, 20 de octubre de 2026</w:t>
      </w:r>
    </w:p>
    <w:p>
      <w:pPr>
        <w:spacing w:before="0" w:after="0" w:line="225" w:lineRule="exact"/>
        <w:jc w:val="center"/>
      </w:pPr>
      <w:r>
        <w:rPr>
          <w:rFonts w:ascii="Arial" w:hAnsi="Arial" w:cs="Arial" w:eastAsia="Arial"/>
          <w:b w:val="0"/>
          <w:color w:val="000000"/>
          <w:sz w:val="18"/>
        </w:rPr>
        <w:t>Proyecto del curso · Implementación en Python</w:t>
      </w:r>
    </w:p>
    <w:p>
      <w:pPr>
        <w:pStyle w:val="Heading1"/>
      </w:pPr>
      <w:r>
        <w:rPr/>
        <w:t>1. Propósito y estructura</w:t>
      </w:r>
    </w:p>
    <w:p>
      <w:pPr/>
      <w:r>
        <w:rPr/>
        <w:t>El proyecto implementa una herramienta de línea de comandos que recibe una expresión regular y una cadena ASCII. Construye explícitamente un autómata finito no determinista (AFND) con transiciones épsilon y después su autómata finito determinista (AFD), para decidir si la cadena pertenece al lenguaje descrito.</w:t>
      </w:r>
    </w:p>
    <w:p>
      <w:pPr>
        <w:keepNext/>
        <w:spacing w:line="240" w:lineRule="auto" w:after="60"/>
        <w:jc w:val="center"/>
      </w:pPr>
      <w:r>
        <w:drawing>
          <wp:inline xmlns:a="http://schemas.openxmlformats.org/drawingml/2006/main" xmlns:pic="http://schemas.openxmlformats.org/drawingml/2006/picture">
            <wp:extent cx="6553200" cy="1346200"/>
            <wp:docPr id="2" name="Picture 2" descr="flujo"/>
            <wp:cNvGraphicFramePr>
              <a:graphicFrameLocks noChangeAspect="1"/>
            </wp:cNvGraphicFramePr>
            <a:graphic>
              <a:graphicData uri="http://schemas.openxmlformats.org/drawingml/2006/picture">
                <pic:pic>
                  <pic:nvPicPr>
                    <pic:cNvPr id="0" name="flujo.png"/>
                    <pic:cNvPicPr/>
                  </pic:nvPicPr>
                  <pic:blipFill>
                    <a:blip r:embed="rId11"/>
                    <a:stretch>
                      <a:fillRect/>
                    </a:stretch>
                  </pic:blipFill>
                  <pic:spPr>
                    <a:xfrm>
                      <a:off x="0" y="0"/>
                      <a:ext cx="6553200" cy="1346200"/>
                    </a:xfrm>
                    <a:prstGeom prst="rect"/>
                  </pic:spPr>
                </pic:pic>
              </a:graphicData>
            </a:graphic>
          </wp:inline>
        </w:drawing>
      </w:r>
    </w:p>
    <w:p>
      <w:pPr>
        <w:pStyle w:val="Heading2"/>
      </w:pPr>
      <w:r>
        <w:rPr/>
        <w:t>Objetivos implementados</w:t>
      </w:r>
    </w:p>
    <w:p>
      <w:pPr/>
      <w:r>
        <w:rPr/>
        <w:t>Construir el AFND mediante Thompson; obtener el AFD por construcción de subconjuntos; mostrar estados, alfabeto, estado inicial, estados finales y transiciones; y evaluar la cadena mostrando cada paso del recorrido.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30" w:type="dxa"/>
          <w:right w:w="130" w:type="dxa"/>
        </w:tblCellMar>
      </w:tblPr>
      <w:tblGrid>
        <w:gridCol w:w="2240"/>
        <w:gridCol w:w="8080"/>
      </w:tblGrid>
      <w:tr>
        <w:trPr>
          <w:cantSplit/>
          <w:tblHeader w:val="true"/>
        </w:trPr>
        <w:tc>
          <w:tcPr>
            <w:tcW w:type="dxa" w:w="2240"/>
            <w:vAlign w:val="center"/>
            <w:shd w:fill="14263F"/>
          </w:tcPr>
          <w:p>
            <w:pPr>
              <w:spacing w:after="0" w:line="242" w:lineRule="exact"/>
            </w:pPr>
            <w:r>
              <w:rPr>
                <w:rFonts w:ascii="Arial" w:hAnsi="Arial" w:cs="Arial" w:eastAsia="Arial"/>
                <w:b/>
                <w:color w:val="FFFFFF"/>
                <w:sz w:val="18"/>
              </w:rPr>
              <w:t>Archivo</w:t>
            </w:r>
          </w:p>
        </w:tc>
        <w:tc>
          <w:tcPr>
            <w:tcW w:type="dxa" w:w="8080"/>
            <w:vAlign w:val="center"/>
            <w:shd w:fill="14263F"/>
          </w:tcPr>
          <w:p>
            <w:pPr>
              <w:spacing w:after="0" w:line="242" w:lineRule="exact"/>
            </w:pPr>
            <w:r>
              <w:rPr>
                <w:rFonts w:ascii="Arial" w:hAnsi="Arial" w:cs="Arial" w:eastAsia="Arial"/>
                <w:b/>
                <w:color w:val="FFFFFF"/>
                <w:sz w:val="18"/>
              </w:rPr>
              <w:t>Responsabilidad principal</w:t>
            </w:r>
          </w:p>
        </w:tc>
      </w:tr>
      <w:tr>
        <w:trPr>
          <w:cantSplit/>
        </w:trPr>
        <w:tc>
          <w:tcPr>
            <w:tcW w:type="dxa" w:w="2240"/>
            <w:vAlign w:val="center"/>
            <w:shd w:fill="FFFFFF"/>
          </w:tcPr>
          <w:p>
            <w:pPr>
              <w:spacing w:after="0" w:line="242" w:lineRule="exact"/>
            </w:pPr>
            <w:r>
              <w:rPr>
                <w:rFonts w:ascii="Arial" w:hAnsi="Arial" w:cs="Arial" w:eastAsia="Arial"/>
                <w:color w:val="14263F"/>
                <w:sz w:val="18"/>
              </w:rPr>
              <w:t>expresiones.py</w:t>
            </w:r>
          </w:p>
        </w:tc>
        <w:tc>
          <w:tcPr>
            <w:tcW w:type="dxa" w:w="8080"/>
            <w:vAlign w:val="center"/>
            <w:shd w:fill="FFFFFF"/>
          </w:tcPr>
          <w:p>
            <w:pPr>
              <w:spacing w:after="0" w:line="242" w:lineRule="exact"/>
            </w:pPr>
            <w:r>
              <w:rPr>
                <w:rFonts w:ascii="Arial" w:hAnsi="Arial" w:cs="Arial" w:eastAsia="Arial"/>
                <w:color w:val="14263F"/>
                <w:sz w:val="18"/>
              </w:rPr>
              <w:t>Análisis sintáctico y construcción del AFND.</w:t>
            </w:r>
          </w:p>
        </w:tc>
      </w:tr>
      <w:tr>
        <w:trPr>
          <w:cantSplit/>
        </w:trPr>
        <w:tc>
          <w:tcPr>
            <w:tcW w:type="dxa" w:w="2240"/>
            <w:vAlign w:val="center"/>
            <w:shd w:fill="EDF2F7"/>
          </w:tcPr>
          <w:p>
            <w:pPr>
              <w:spacing w:after="0" w:line="242" w:lineRule="exact"/>
            </w:pPr>
            <w:r>
              <w:rPr>
                <w:rFonts w:ascii="Arial" w:hAnsi="Arial" w:cs="Arial" w:eastAsia="Arial"/>
                <w:color w:val="14263F"/>
                <w:sz w:val="18"/>
              </w:rPr>
              <w:t>automatas.py</w:t>
            </w:r>
          </w:p>
        </w:tc>
        <w:tc>
          <w:tcPr>
            <w:tcW w:type="dxa" w:w="8080"/>
            <w:vAlign w:val="center"/>
            <w:shd w:fill="EDF2F7"/>
          </w:tcPr>
          <w:p>
            <w:pPr>
              <w:spacing w:after="0" w:line="242" w:lineRule="exact"/>
            </w:pPr>
            <w:r>
              <w:rPr>
                <w:rFonts w:ascii="Arial" w:hAnsi="Arial" w:cs="Arial" w:eastAsia="Arial"/>
                <w:color w:val="14263F"/>
                <w:sz w:val="18"/>
              </w:rPr>
              <w:t>Partición del alfabeto, cierre ε, construcción del AFD y evaluación.</w:t>
            </w:r>
          </w:p>
        </w:tc>
      </w:tr>
      <w:tr>
        <w:trPr>
          <w:cantSplit/>
        </w:trPr>
        <w:tc>
          <w:tcPr>
            <w:tcW w:type="dxa" w:w="2240"/>
            <w:vAlign w:val="center"/>
            <w:shd w:fill="FFFFFF"/>
          </w:tcPr>
          <w:p>
            <w:pPr>
              <w:spacing w:after="0" w:line="242" w:lineRule="exact"/>
            </w:pPr>
            <w:r>
              <w:rPr>
                <w:rFonts w:ascii="Arial" w:hAnsi="Arial" w:cs="Arial" w:eastAsia="Arial"/>
                <w:color w:val="14263F"/>
                <w:sz w:val="18"/>
              </w:rPr>
              <w:t>er_afd.py</w:t>
            </w:r>
          </w:p>
        </w:tc>
        <w:tc>
          <w:tcPr>
            <w:tcW w:type="dxa" w:w="8080"/>
            <w:vAlign w:val="center"/>
            <w:shd w:fill="FFFFFF"/>
          </w:tcPr>
          <w:p>
            <w:pPr>
              <w:spacing w:after="0" w:line="242" w:lineRule="exact"/>
            </w:pPr>
            <w:r>
              <w:rPr>
                <w:rFonts w:ascii="Arial" w:hAnsi="Arial" w:cs="Arial" w:eastAsia="Arial"/>
                <w:color w:val="14263F"/>
                <w:sz w:val="18"/>
              </w:rPr>
              <w:t>Programa principal, argumentos, validaciones y presentación de resultados.</w:t>
            </w:r>
          </w:p>
        </w:tc>
      </w:tr>
      <w:tr>
        <w:trPr>
          <w:cantSplit/>
        </w:trPr>
        <w:tc>
          <w:tcPr>
            <w:tcW w:type="dxa" w:w="2240"/>
            <w:vAlign w:val="center"/>
            <w:shd w:fill="EDF2F7"/>
          </w:tcPr>
          <w:p>
            <w:pPr>
              <w:spacing w:after="0" w:line="242" w:lineRule="exact"/>
            </w:pPr>
            <w:r>
              <w:rPr>
                <w:rFonts w:ascii="Arial" w:hAnsi="Arial" w:cs="Arial" w:eastAsia="Arial"/>
                <w:color w:val="14263F"/>
                <w:sz w:val="18"/>
              </w:rPr>
              <w:t>er-afd</w:t>
            </w:r>
          </w:p>
        </w:tc>
        <w:tc>
          <w:tcPr>
            <w:tcW w:type="dxa" w:w="8080"/>
            <w:vAlign w:val="center"/>
            <w:shd w:fill="EDF2F7"/>
          </w:tcPr>
          <w:p>
            <w:pPr>
              <w:spacing w:after="0" w:line="242" w:lineRule="exact"/>
            </w:pPr>
            <w:r>
              <w:rPr>
                <w:rFonts w:ascii="Arial" w:hAnsi="Arial" w:cs="Arial" w:eastAsia="Arial"/>
                <w:color w:val="14263F"/>
                <w:sz w:val="18"/>
              </w:rPr>
              <w:t>Lanzador de consola que llama al mismo programa principal.</w:t>
            </w:r>
          </w:p>
        </w:tc>
      </w:tr>
      <w:tr>
        <w:trPr>
          <w:cantSplit/>
        </w:trPr>
        <w:tc>
          <w:tcPr>
            <w:tcW w:type="dxa" w:w="2240"/>
            <w:vAlign w:val="center"/>
            <w:shd w:fill="FFFFFF"/>
          </w:tcPr>
          <w:p>
            <w:pPr>
              <w:spacing w:after="0" w:line="242" w:lineRule="exact"/>
            </w:pPr>
            <w:r>
              <w:rPr>
                <w:rFonts w:ascii="Arial" w:hAnsi="Arial" w:cs="Arial" w:eastAsia="Arial"/>
                <w:color w:val="14263F"/>
                <w:sz w:val="18"/>
              </w:rPr>
              <w:t>Makefile</w:t>
            </w:r>
          </w:p>
        </w:tc>
        <w:tc>
          <w:tcPr>
            <w:tcW w:type="dxa" w:w="8080"/>
            <w:vAlign w:val="center"/>
            <w:shd w:fill="FFFFFF"/>
          </w:tcPr>
          <w:p>
            <w:pPr>
              <w:spacing w:after="0" w:line="242" w:lineRule="exact"/>
            </w:pPr>
            <w:r>
              <w:rPr>
                <w:rFonts w:ascii="Arial" w:hAnsi="Arial" w:cs="Arial" w:eastAsia="Arial"/>
                <w:color w:val="14263F"/>
                <w:sz w:val="18"/>
              </w:rPr>
              <w:t>Preparación, ejecución y limpieza en Linux.</w:t>
            </w:r>
          </w:p>
        </w:tc>
      </w:tr>
      <w:tr>
        <w:trPr>
          <w:cantSplit/>
        </w:trPr>
        <w:tc>
          <w:tcPr>
            <w:tcW w:type="dxa" w:w="2240"/>
            <w:vAlign w:val="center"/>
            <w:shd w:fill="EDF2F7"/>
          </w:tcPr>
          <w:p>
            <w:pPr>
              <w:spacing w:after="0" w:line="242" w:lineRule="exact"/>
            </w:pPr>
            <w:r>
              <w:rPr>
                <w:rFonts w:ascii="Arial" w:hAnsi="Arial" w:cs="Arial" w:eastAsia="Arial"/>
                <w:color w:val="14263F"/>
                <w:sz w:val="18"/>
              </w:rPr>
              <w:t>pruebas.py</w:t>
            </w:r>
          </w:p>
        </w:tc>
        <w:tc>
          <w:tcPr>
            <w:tcW w:type="dxa" w:w="8080"/>
            <w:vAlign w:val="center"/>
            <w:shd w:fill="EDF2F7"/>
          </w:tcPr>
          <w:p>
            <w:pPr>
              <w:spacing w:after="0" w:line="242" w:lineRule="exact"/>
            </w:pPr>
            <w:r>
              <w:rPr>
                <w:rFonts w:ascii="Arial" w:hAnsi="Arial" w:cs="Arial" w:eastAsia="Arial"/>
                <w:color w:val="14263F"/>
                <w:sz w:val="18"/>
              </w:rPr>
              <w:t>Verificación automatizada con la biblioteca estándar unittest.</w:t>
            </w:r>
          </w:p>
        </w:tc>
      </w:tr>
    </w:tbl>
    <w:p>
      <w:pPr>
        <w:spacing w:after="80" w:line="40" w:lineRule="exact" w:before="0"/>
      </w:pPr>
    </w:p>
    <w:p>
      <w:pPr/>
      <w:r>
        <w:rPr>
          <w:color w:val="546174"/>
          <w:sz w:val="18"/>
        </w:rPr>
        <w:t>La ejecución concreta admite una ER y una cadena por llamada. La versión documentada no incorpora lectura de archivos ni tokenización simultánea de varias reglas.</w:t>
      </w:r>
    </w:p>
    <w:p>
      <w:pPr>
        <w:pStyle w:val="Heading1"/>
      </w:pPr>
      <w:r>
        <w:rPr/>
        <w:t>2. Análisis de la expresión</w:t>
      </w:r>
    </w:p>
    <w:p>
      <w:pPr/>
      <w:r>
        <w:rPr/>
        <w:t>El analizador descendente recursivo lee la ER de izquierda a derecha. La precedencia, de menor a mayor, es unión, concatenación y cerradura. Los paréntesis permiten agrupar una subexpresión.</w:t>
      </w:r>
    </w:p>
    <w:p>
      <w:pPr>
        <w:spacing w:line="260" w:lineRule="exact" w:after="220"/>
        <w:ind w:left="160"/>
      </w:pPr>
      <w:r>
        <w:rPr>
          <w:rFonts w:ascii="Consolas" w:hAnsi="Consolas" w:cs="Consolas" w:eastAsia="Consolas"/>
          <w:color w:val="14263F"/>
          <w:sz w:val="18"/>
        </w:rPr>
        <w:t>unión         := concatenación ("|" concatenación)*</w:t>
      </w:r>
      <w:r>
        <w:br/>
      </w:r>
      <w:r>
        <w:rPr>
          <w:rFonts w:ascii="Consolas" w:hAnsi="Consolas" w:cs="Consolas" w:eastAsia="Consolas"/>
          <w:color w:val="14263F"/>
          <w:sz w:val="18"/>
        </w:rPr>
        <w:t>concatenación := repetición repetición*</w:t>
      </w:r>
      <w:r>
        <w:br/>
      </w:r>
      <w:r>
        <w:rPr>
          <w:rFonts w:ascii="Consolas" w:hAnsi="Consolas" w:cs="Consolas" w:eastAsia="Consolas"/>
          <w:color w:val="14263F"/>
          <w:sz w:val="18"/>
        </w:rPr>
        <w:t>repetición    := átomo "*"*</w:t>
      </w:r>
      <w:r>
        <w:br/>
      </w:r>
      <w:r>
        <w:rPr>
          <w:rFonts w:ascii="Consolas" w:hAnsi="Consolas" w:cs="Consolas" w:eastAsia="Consolas"/>
          <w:color w:val="14263F"/>
          <w:sz w:val="18"/>
        </w:rPr>
        <w:t>átomo         := literal | ε | . | conjunto | "(" unión ")"</w:t>
      </w:r>
    </w:p>
    <w:p>
      <w:pPr/>
      <w:r>
        <w:rPr/>
        <w:t>Los fragmentos de Thompson se construyen mientras se analiza la entrada. No se crea un árbol sintáctico adicional ni se utiliza una biblioteca de expresiones regulares para reconocer cadenas.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30" w:type="dxa"/>
          <w:right w:w="130" w:type="dxa"/>
        </w:tblCellMar>
      </w:tblPr>
      <w:tblGrid>
        <w:gridCol w:w="2920"/>
        <w:gridCol w:w="7400"/>
      </w:tblGrid>
      <w:tr>
        <w:trPr>
          <w:cantSplit/>
          <w:tblHeader w:val="true"/>
        </w:trPr>
        <w:tc>
          <w:tcPr>
            <w:tcW w:type="dxa" w:w="2920"/>
            <w:vAlign w:val="center"/>
            <w:shd w:fill="14263F"/>
          </w:tcPr>
          <w:p>
            <w:pPr>
              <w:spacing w:after="0" w:line="242" w:lineRule="exact"/>
            </w:pPr>
            <w:r>
              <w:rPr>
                <w:rFonts w:ascii="Arial" w:hAnsi="Arial" w:cs="Arial" w:eastAsia="Arial"/>
                <w:b/>
                <w:color w:val="FFFFFF"/>
                <w:sz w:val="18"/>
              </w:rPr>
              <w:t>Entrada</w:t>
            </w:r>
          </w:p>
        </w:tc>
        <w:tc>
          <w:tcPr>
            <w:tcW w:type="dxa" w:w="7400"/>
            <w:vAlign w:val="center"/>
            <w:shd w:fill="14263F"/>
          </w:tcPr>
          <w:p>
            <w:pPr>
              <w:spacing w:after="0" w:line="242" w:lineRule="exact"/>
            </w:pPr>
            <w:r>
              <w:rPr>
                <w:rFonts w:ascii="Arial" w:hAnsi="Arial" w:cs="Arial" w:eastAsia="Arial"/>
                <w:b/>
                <w:color w:val="FFFFFF"/>
                <w:sz w:val="18"/>
              </w:rPr>
              <w:t>Interpretación</w:t>
            </w:r>
          </w:p>
        </w:tc>
      </w:tr>
      <w:tr>
        <w:trPr>
          <w:cantSplit/>
        </w:trPr>
        <w:tc>
          <w:tcPr>
            <w:tcW w:type="dxa" w:w="2920"/>
            <w:vAlign w:val="center"/>
            <w:shd w:fill="FFFFFF"/>
          </w:tcPr>
          <w:p>
            <w:pPr>
              <w:spacing w:after="0" w:line="242" w:lineRule="exact"/>
            </w:pPr>
            <w:r>
              <w:rPr>
                <w:rFonts w:ascii="Arial" w:hAnsi="Arial" w:cs="Arial" w:eastAsia="Arial"/>
                <w:color w:val="14263F"/>
                <w:sz w:val="18"/>
              </w:rPr>
              <w:t>ab / a|b / a* / (r)</w:t>
            </w:r>
          </w:p>
        </w:tc>
        <w:tc>
          <w:tcPr>
            <w:tcW w:type="dxa" w:w="7400"/>
            <w:vAlign w:val="center"/>
            <w:shd w:fill="FFFFFF"/>
          </w:tcPr>
          <w:p>
            <w:pPr>
              <w:spacing w:after="0" w:line="242" w:lineRule="exact"/>
            </w:pPr>
            <w:r>
              <w:rPr>
                <w:rFonts w:ascii="Arial" w:hAnsi="Arial" w:cs="Arial" w:eastAsia="Arial"/>
                <w:color w:val="14263F"/>
                <w:sz w:val="18"/>
              </w:rPr>
              <w:t>Concatenación, unión, cerradura y agrupación.</w:t>
            </w:r>
          </w:p>
        </w:tc>
      </w:tr>
      <w:tr>
        <w:trPr>
          <w:cantSplit/>
        </w:trPr>
        <w:tc>
          <w:tcPr>
            <w:tcW w:type="dxa" w:w="2920"/>
            <w:vAlign w:val="center"/>
            <w:shd w:fill="EDF2F7"/>
          </w:tcPr>
          <w:p>
            <w:pPr>
              <w:spacing w:after="0" w:line="242" w:lineRule="exact"/>
            </w:pPr>
            <w:r>
              <w:rPr>
                <w:rFonts w:ascii="Arial" w:hAnsi="Arial" w:cs="Arial" w:eastAsia="Arial"/>
                <w:color w:val="14263F"/>
                <w:sz w:val="18"/>
              </w:rPr>
              <w:t>. / ε</w:t>
            </w:r>
          </w:p>
        </w:tc>
        <w:tc>
          <w:tcPr>
            <w:tcW w:type="dxa" w:w="7400"/>
            <w:vAlign w:val="center"/>
            <w:shd w:fill="EDF2F7"/>
          </w:tcPr>
          <w:p>
            <w:pPr>
              <w:spacing w:after="0" w:line="242" w:lineRule="exact"/>
            </w:pPr>
            <w:r>
              <w:rPr>
                <w:rFonts w:ascii="Arial" w:hAnsi="Arial" w:cs="Arial" w:eastAsia="Arial"/>
                <w:color w:val="14263F"/>
                <w:sz w:val="18"/>
              </w:rPr>
              <w:t>Cualquier carácter ASCII / cadena vacía, sin consumir entrada.</w:t>
            </w:r>
          </w:p>
        </w:tc>
      </w:tr>
      <w:tr>
        <w:trPr>
          <w:cantSplit/>
        </w:trPr>
        <w:tc>
          <w:tcPr>
            <w:tcW w:type="dxa" w:w="2920"/>
            <w:vAlign w:val="center"/>
            <w:shd w:fill="FFFFFF"/>
          </w:tcPr>
          <w:p>
            <w:pPr>
              <w:spacing w:after="0" w:line="242" w:lineRule="exact"/>
            </w:pPr>
            <w:r>
              <w:rPr>
                <w:rFonts w:ascii="Arial" w:hAnsi="Arial" w:cs="Arial" w:eastAsia="Arial"/>
                <w:color w:val="14263F"/>
                <w:sz w:val="18"/>
              </w:rPr>
              <w:t>[abc] / [^abc]</w:t>
            </w:r>
          </w:p>
        </w:tc>
        <w:tc>
          <w:tcPr>
            <w:tcW w:type="dxa" w:w="7400"/>
            <w:vAlign w:val="center"/>
            <w:shd w:fill="FFFFFF"/>
          </w:tcPr>
          <w:p>
            <w:pPr>
              <w:spacing w:after="0" w:line="242" w:lineRule="exact"/>
            </w:pPr>
            <w:r>
              <w:rPr>
                <w:rFonts w:ascii="Arial" w:hAnsi="Arial" w:cs="Arial" w:eastAsia="Arial"/>
                <w:color w:val="14263F"/>
                <w:sz w:val="18"/>
              </w:rPr>
              <w:t>Conjunto positivo / complemento respecto a los 128 caracteres ASCII.</w:t>
            </w:r>
          </w:p>
        </w:tc>
      </w:tr>
      <w:tr>
        <w:trPr>
          <w:cantSplit/>
        </w:trPr>
        <w:tc>
          <w:tcPr>
            <w:tcW w:type="dxa" w:w="2920"/>
            <w:vAlign w:val="center"/>
            <w:shd w:fill="EDF2F7"/>
          </w:tcPr>
          <w:p>
            <w:pPr>
              <w:spacing w:after="0" w:line="242" w:lineRule="exact"/>
            </w:pPr>
            <w:r>
              <w:rPr>
                <w:rFonts w:ascii="Arial" w:hAnsi="Arial" w:cs="Arial" w:eastAsia="Arial"/>
                <w:color w:val="14263F"/>
                <w:sz w:val="18"/>
              </w:rPr>
              <w:t>[a-z]</w:t>
            </w:r>
          </w:p>
        </w:tc>
        <w:tc>
          <w:tcPr>
            <w:tcW w:type="dxa" w:w="7400"/>
            <w:vAlign w:val="center"/>
            <w:shd w:fill="EDF2F7"/>
          </w:tcPr>
          <w:p>
            <w:pPr>
              <w:spacing w:after="0" w:line="242" w:lineRule="exact"/>
            </w:pPr>
            <w:r>
              <w:rPr>
                <w:rFonts w:ascii="Arial" w:hAnsi="Arial" w:cs="Arial" w:eastAsia="Arial"/>
                <w:color w:val="14263F"/>
                <w:sz w:val="18"/>
              </w:rPr>
              <w:t>Rango inclusivo y ascendente dentro de un conjunto.</w:t>
            </w:r>
          </w:p>
        </w:tc>
      </w:tr>
      <w:tr>
        <w:trPr>
          <w:cantSplit/>
        </w:trPr>
        <w:tc>
          <w:tcPr>
            <w:tcW w:type="dxa" w:w="2920"/>
            <w:vAlign w:val="center"/>
            <w:shd w:fill="FFFFFF"/>
          </w:tcPr>
          <w:p>
            <w:pPr>
              <w:spacing w:after="0" w:line="242" w:lineRule="exact"/>
            </w:pPr>
            <w:r>
              <w:rPr>
                <w:rFonts w:ascii="Arial" w:hAnsi="Arial" w:cs="Arial" w:eastAsia="Arial"/>
                <w:color w:val="14263F"/>
                <w:sz w:val="18"/>
              </w:rPr>
              <w:t>\* / \p / \\</w:t>
            </w:r>
          </w:p>
        </w:tc>
        <w:tc>
          <w:tcPr>
            <w:tcW w:type="dxa" w:w="7400"/>
            <w:vAlign w:val="center"/>
            <w:shd w:fill="FFFFFF"/>
          </w:tcPr>
          <w:p>
            <w:pPr>
              <w:spacing w:after="0" w:line="242" w:lineRule="exact"/>
            </w:pPr>
            <w:r>
              <w:rPr>
                <w:rFonts w:ascii="Arial" w:hAnsi="Arial" w:cs="Arial" w:eastAsia="Arial"/>
                <w:color w:val="14263F"/>
                <w:sz w:val="18"/>
              </w:rPr>
              <w:t>Escapes de literales: asterisco, letra p y barra invertida.</w:t>
            </w:r>
          </w:p>
        </w:tc>
      </w:tr>
      <w:tr>
        <w:trPr>
          <w:cantSplit/>
        </w:trPr>
        <w:tc>
          <w:tcPr>
            <w:tcW w:type="dxa" w:w="2920"/>
            <w:vAlign w:val="center"/>
            <w:shd w:fill="EDF2F7"/>
          </w:tcPr>
          <w:p>
            <w:pPr>
              <w:spacing w:after="0" w:line="242" w:lineRule="exact"/>
            </w:pPr>
            <w:r>
              <w:rPr>
                <w:rFonts w:ascii="Arial" w:hAnsi="Arial" w:cs="Arial" w:eastAsia="Arial"/>
                <w:color w:val="14263F"/>
                <w:sz w:val="18"/>
              </w:rPr>
              <w:t>\N</w:t>
            </w:r>
          </w:p>
        </w:tc>
        <w:tc>
          <w:tcPr>
            <w:tcW w:type="dxa" w:w="7400"/>
            <w:vAlign w:val="center"/>
            <w:shd w:fill="EDF2F7"/>
          </w:tcPr>
          <w:p>
            <w:pPr>
              <w:spacing w:after="0" w:line="242" w:lineRule="exact"/>
            </w:pPr>
            <w:r>
              <w:rPr>
                <w:rFonts w:ascii="Arial" w:hAnsi="Arial" w:cs="Arial" w:eastAsia="Arial"/>
                <w:color w:val="14263F"/>
                <w:sz w:val="18"/>
              </w:rPr>
              <w:t>Dígitos del 0 al 9.</w:t>
            </w:r>
          </w:p>
        </w:tc>
      </w:tr>
      <w:tr>
        <w:trPr>
          <w:cantSplit/>
        </w:trPr>
        <w:tc>
          <w:tcPr>
            <w:tcW w:type="dxa" w:w="2920"/>
            <w:vAlign w:val="center"/>
            <w:shd w:fill="FFFFFF"/>
          </w:tcPr>
          <w:p>
            <w:pPr>
              <w:spacing w:after="0" w:line="242" w:lineRule="exact"/>
            </w:pPr>
            <w:r>
              <w:rPr>
                <w:rFonts w:ascii="Arial" w:hAnsi="Arial" w:cs="Arial" w:eastAsia="Arial"/>
                <w:color w:val="14263F"/>
                <w:sz w:val="18"/>
              </w:rPr>
              <w:t>\hHH</w:t>
            </w:r>
          </w:p>
        </w:tc>
        <w:tc>
          <w:tcPr>
            <w:tcW w:type="dxa" w:w="7400"/>
            <w:vAlign w:val="center"/>
            <w:shd w:fill="FFFFFF"/>
          </w:tcPr>
          <w:p>
            <w:pPr>
              <w:spacing w:after="0" w:line="242" w:lineRule="exact"/>
            </w:pPr>
            <w:r>
              <w:rPr>
                <w:rFonts w:ascii="Arial" w:hAnsi="Arial" w:cs="Arial" w:eastAsia="Arial"/>
                <w:color w:val="14263F"/>
                <w:sz w:val="18"/>
              </w:rPr>
              <w:t>Carácter por dos dígitos hexadecimales; códigos 00 a 7F.</w:t>
            </w:r>
          </w:p>
        </w:tc>
      </w:tr>
      <w:tr>
        <w:trPr>
          <w:cantSplit/>
        </w:trPr>
        <w:tc>
          <w:tcPr>
            <w:tcW w:type="dxa" w:w="2920"/>
            <w:vAlign w:val="center"/>
            <w:shd w:fill="EDF2F7"/>
          </w:tcPr>
          <w:p>
            <w:pPr>
              <w:spacing w:after="0" w:line="242" w:lineRule="exact"/>
            </w:pPr>
            <w:r>
              <w:rPr>
                <w:rFonts w:ascii="Arial" w:hAnsi="Arial" w:cs="Arial" w:eastAsia="Arial"/>
                <w:color w:val="14263F"/>
                <w:sz w:val="18"/>
              </w:rPr>
              <w:t>\A / \a / \z</w:t>
            </w:r>
          </w:p>
        </w:tc>
        <w:tc>
          <w:tcPr>
            <w:tcW w:type="dxa" w:w="7400"/>
            <w:vAlign w:val="center"/>
            <w:shd w:fill="EDF2F7"/>
          </w:tcPr>
          <w:p>
            <w:pPr>
              <w:spacing w:after="0" w:line="242" w:lineRule="exact"/>
            </w:pPr>
            <w:r>
              <w:rPr>
                <w:rFonts w:ascii="Arial" w:hAnsi="Arial" w:cs="Arial" w:eastAsia="Arial"/>
                <w:color w:val="14263F"/>
                <w:sz w:val="18"/>
              </w:rPr>
              <w:t>Letras mayúsculas / minúsculas / ambas.</w:t>
            </w:r>
          </w:p>
        </w:tc>
      </w:tr>
    </w:tbl>
    <w:p>
      <w:pPr>
        <w:spacing w:after="80" w:line="40" w:lineRule="exact" w:before="0"/>
      </w:pPr>
    </w:p>
    <w:p>
      <w:pPr/>
      <w:r>
        <w:rPr/>
        <w:t>Los conjuntos positivos y las clases especiales se expanden a caracteres individuales en el orden indicado. Los conjuntos negativos conservan una etiqueta de complemento. Se validan paréntesis, conjuntos, escapes, extremos de rangos y caracteres no ASCII.</w:t>
      </w:r>
    </w:p>
    <w:p>
      <w:pPr>
        <w:pStyle w:val="Heading1"/>
      </w:pPr>
      <w:r>
        <w:rPr/>
        <w:t>3. Construcción de Thompson</w:t>
      </w:r>
    </w:p>
    <w:p>
      <w:pPr/>
      <w:r>
        <w:rPr/>
        <w:t xml:space="preserve">Cada subexpresión produce un fragmento representado por su estado inicial y final. Las transiciones se almacenan en una lista de diccionarios: cada estado tiene etiquetas que apuntan a conjuntos de estados destino. Una etiqueta </w:t>
      </w:r>
      <w:r>
        <w:rPr>
          <w:b/>
        </w:rPr>
        <w:t>None</w:t>
      </w:r>
      <w:r>
        <w:rPr/>
        <w:t xml:space="preserve"> representa ε.</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30" w:type="dxa"/>
          <w:right w:w="130" w:type="dxa"/>
        </w:tblCellMar>
      </w:tblPr>
      <w:tblGrid>
        <w:gridCol w:w="2300"/>
        <w:gridCol w:w="8020"/>
      </w:tblGrid>
      <w:tr>
        <w:trPr>
          <w:cantSplit/>
          <w:tblHeader w:val="true"/>
        </w:trPr>
        <w:tc>
          <w:tcPr>
            <w:tcW w:type="dxa" w:w="2300"/>
            <w:vAlign w:val="center"/>
            <w:shd w:fill="14263F"/>
          </w:tcPr>
          <w:p>
            <w:pPr>
              <w:spacing w:after="0" w:line="242" w:lineRule="exact"/>
            </w:pPr>
            <w:r>
              <w:rPr>
                <w:rFonts w:ascii="Arial" w:hAnsi="Arial" w:cs="Arial" w:eastAsia="Arial"/>
                <w:b/>
                <w:color w:val="FFFFFF"/>
                <w:sz w:val="18"/>
              </w:rPr>
              <w:t>Operación</w:t>
            </w:r>
          </w:p>
        </w:tc>
        <w:tc>
          <w:tcPr>
            <w:tcW w:type="dxa" w:w="8020"/>
            <w:vAlign w:val="center"/>
            <w:shd w:fill="14263F"/>
          </w:tcPr>
          <w:p>
            <w:pPr>
              <w:spacing w:after="0" w:line="242" w:lineRule="exact"/>
            </w:pPr>
            <w:r>
              <w:rPr>
                <w:rFonts w:ascii="Arial" w:hAnsi="Arial" w:cs="Arial" w:eastAsia="Arial"/>
                <w:b/>
                <w:color w:val="FFFFFF"/>
                <w:sz w:val="18"/>
              </w:rPr>
              <w:t>Construcción aplicada</w:t>
            </w:r>
          </w:p>
        </w:tc>
      </w:tr>
      <w:tr>
        <w:trPr>
          <w:cantSplit/>
        </w:trPr>
        <w:tc>
          <w:tcPr>
            <w:tcW w:type="dxa" w:w="2300"/>
            <w:vAlign w:val="center"/>
            <w:shd w:fill="FFFFFF"/>
          </w:tcPr>
          <w:p>
            <w:pPr>
              <w:spacing w:after="0" w:line="242" w:lineRule="exact"/>
            </w:pPr>
            <w:r>
              <w:rPr>
                <w:rFonts w:ascii="Arial" w:hAnsi="Arial" w:cs="Arial" w:eastAsia="Arial"/>
                <w:color w:val="14263F"/>
                <w:sz w:val="18"/>
              </w:rPr>
              <w:t>Literal o clase</w:t>
            </w:r>
          </w:p>
        </w:tc>
        <w:tc>
          <w:tcPr>
            <w:tcW w:type="dxa" w:w="8020"/>
            <w:vAlign w:val="center"/>
            <w:shd w:fill="FFFFFF"/>
          </w:tcPr>
          <w:p>
            <w:pPr>
              <w:spacing w:after="0" w:line="242" w:lineRule="exact"/>
            </w:pPr>
            <w:r>
              <w:rPr>
                <w:rFonts w:ascii="Arial" w:hAnsi="Arial" w:cs="Arial" w:eastAsia="Arial"/>
                <w:color w:val="14263F"/>
                <w:sz w:val="18"/>
              </w:rPr>
              <w:t>Dos estados unidos por una transición consumible. Una clase positiva puede tener varias etiquetas entre esos mismos estados.</w:t>
            </w:r>
          </w:p>
        </w:tc>
      </w:tr>
      <w:tr>
        <w:trPr>
          <w:cantSplit/>
        </w:trPr>
        <w:tc>
          <w:tcPr>
            <w:tcW w:type="dxa" w:w="2300"/>
            <w:vAlign w:val="center"/>
            <w:shd w:fill="EDF2F7"/>
          </w:tcPr>
          <w:p>
            <w:pPr>
              <w:spacing w:after="0" w:line="242" w:lineRule="exact"/>
            </w:pPr>
            <w:r>
              <w:rPr>
                <w:rFonts w:ascii="Arial" w:hAnsi="Arial" w:cs="Arial" w:eastAsia="Arial"/>
                <w:color w:val="14263F"/>
                <w:sz w:val="18"/>
              </w:rPr>
              <w:t>Épsilon</w:t>
            </w:r>
          </w:p>
        </w:tc>
        <w:tc>
          <w:tcPr>
            <w:tcW w:type="dxa" w:w="8020"/>
            <w:vAlign w:val="center"/>
            <w:shd w:fill="EDF2F7"/>
          </w:tcPr>
          <w:p>
            <w:pPr>
              <w:spacing w:after="0" w:line="242" w:lineRule="exact"/>
            </w:pPr>
            <w:r>
              <w:rPr>
                <w:rFonts w:ascii="Arial" w:hAnsi="Arial" w:cs="Arial" w:eastAsia="Arial"/>
                <w:color w:val="14263F"/>
                <w:sz w:val="18"/>
              </w:rPr>
              <w:t>Dos estados unidos por una transición ε.</w:t>
            </w:r>
          </w:p>
        </w:tc>
      </w:tr>
      <w:tr>
        <w:trPr>
          <w:cantSplit/>
        </w:trPr>
        <w:tc>
          <w:tcPr>
            <w:tcW w:type="dxa" w:w="2300"/>
            <w:vAlign w:val="center"/>
            <w:shd w:fill="FFFFFF"/>
          </w:tcPr>
          <w:p>
            <w:pPr>
              <w:spacing w:after="0" w:line="242" w:lineRule="exact"/>
            </w:pPr>
            <w:r>
              <w:rPr>
                <w:rFonts w:ascii="Arial" w:hAnsi="Arial" w:cs="Arial" w:eastAsia="Arial"/>
                <w:color w:val="14263F"/>
                <w:sz w:val="18"/>
              </w:rPr>
              <w:t>Concatenación rs</w:t>
            </w:r>
          </w:p>
        </w:tc>
        <w:tc>
          <w:tcPr>
            <w:tcW w:type="dxa" w:w="8020"/>
            <w:vAlign w:val="center"/>
            <w:shd w:fill="FFFFFF"/>
          </w:tcPr>
          <w:p>
            <w:pPr>
              <w:spacing w:after="0" w:line="242" w:lineRule="exact"/>
            </w:pPr>
            <w:r>
              <w:rPr>
                <w:rFonts w:ascii="Arial" w:hAnsi="Arial" w:cs="Arial" w:eastAsia="Arial"/>
                <w:color w:val="14263F"/>
                <w:sz w:val="18"/>
              </w:rPr>
              <w:t>Conectar el final de r con el inicio de s mediante ε.</w:t>
            </w:r>
          </w:p>
        </w:tc>
      </w:tr>
      <w:tr>
        <w:trPr>
          <w:cantSplit/>
        </w:trPr>
        <w:tc>
          <w:tcPr>
            <w:tcW w:type="dxa" w:w="2300"/>
            <w:vAlign w:val="center"/>
            <w:shd w:fill="EDF2F7"/>
          </w:tcPr>
          <w:p>
            <w:pPr>
              <w:spacing w:after="0" w:line="242" w:lineRule="exact"/>
            </w:pPr>
            <w:r>
              <w:rPr>
                <w:rFonts w:ascii="Arial" w:hAnsi="Arial" w:cs="Arial" w:eastAsia="Arial"/>
                <w:color w:val="14263F"/>
                <w:sz w:val="18"/>
              </w:rPr>
              <w:t>Unión r|s</w:t>
            </w:r>
          </w:p>
        </w:tc>
        <w:tc>
          <w:tcPr>
            <w:tcW w:type="dxa" w:w="8020"/>
            <w:vAlign w:val="center"/>
            <w:shd w:fill="EDF2F7"/>
          </w:tcPr>
          <w:p>
            <w:pPr>
              <w:spacing w:after="0" w:line="242" w:lineRule="exact"/>
            </w:pPr>
            <w:r>
              <w:rPr>
                <w:rFonts w:ascii="Arial" w:hAnsi="Arial" w:cs="Arial" w:eastAsia="Arial"/>
                <w:color w:val="14263F"/>
                <w:sz w:val="18"/>
              </w:rPr>
              <w:t>Agregar inicio y final nuevos; conectar ambas alternativas mediante ε.</w:t>
            </w:r>
          </w:p>
        </w:tc>
      </w:tr>
      <w:tr>
        <w:trPr>
          <w:cantSplit/>
        </w:trPr>
        <w:tc>
          <w:tcPr>
            <w:tcW w:type="dxa" w:w="2300"/>
            <w:vAlign w:val="center"/>
            <w:shd w:fill="FFFFFF"/>
          </w:tcPr>
          <w:p>
            <w:pPr>
              <w:spacing w:after="0" w:line="242" w:lineRule="exact"/>
            </w:pPr>
            <w:r>
              <w:rPr>
                <w:rFonts w:ascii="Arial" w:hAnsi="Arial" w:cs="Arial" w:eastAsia="Arial"/>
                <w:color w:val="14263F"/>
                <w:sz w:val="18"/>
              </w:rPr>
              <w:t>Cerradura r*</w:t>
            </w:r>
          </w:p>
        </w:tc>
        <w:tc>
          <w:tcPr>
            <w:tcW w:type="dxa" w:w="8020"/>
            <w:vAlign w:val="center"/>
            <w:shd w:fill="FFFFFF"/>
          </w:tcPr>
          <w:p>
            <w:pPr>
              <w:spacing w:after="0" w:line="242" w:lineRule="exact"/>
            </w:pPr>
            <w:r>
              <w:rPr>
                <w:rFonts w:ascii="Arial" w:hAnsi="Arial" w:cs="Arial" w:eastAsia="Arial"/>
                <w:color w:val="14263F"/>
                <w:sz w:val="18"/>
              </w:rPr>
              <w:t>Agregar inicio y final nuevos; permitir omitir r, entrar, repetir y salir mediante ε.</w:t>
            </w:r>
          </w:p>
        </w:tc>
      </w:tr>
    </w:tbl>
    <w:p>
      <w:pPr>
        <w:spacing w:after="80" w:line="40" w:lineRule="exact" w:before="0"/>
      </w:pPr>
    </w:p>
    <w:p>
      <w:pPr>
        <w:pStyle w:val="Heading2"/>
      </w:pPr>
      <w:r>
        <w:rPr/>
        <w:t>Ejemplo: a|b</w:t>
      </w:r>
    </w:p>
    <w:p>
      <w:pPr>
        <w:keepNext/>
        <w:spacing w:line="240" w:lineRule="auto" w:after="60"/>
        <w:jc w:val="center"/>
      </w:pPr>
      <w:r>
        <w:drawing>
          <wp:inline xmlns:a="http://schemas.openxmlformats.org/drawingml/2006/main" xmlns:pic="http://schemas.openxmlformats.org/drawingml/2006/picture">
            <wp:extent cx="6553200" cy="2336800"/>
            <wp:docPr id="3" name="Picture 3" descr="afnd"/>
            <wp:cNvGraphicFramePr>
              <a:graphicFrameLocks noChangeAspect="1"/>
            </wp:cNvGraphicFramePr>
            <a:graphic>
              <a:graphicData uri="http://schemas.openxmlformats.org/drawingml/2006/picture">
                <pic:pic>
                  <pic:nvPicPr>
                    <pic:cNvPr id="0" name="afnd.png"/>
                    <pic:cNvPicPr/>
                  </pic:nvPicPr>
                  <pic:blipFill>
                    <a:blip r:embed="rId12"/>
                    <a:stretch>
                      <a:fillRect/>
                    </a:stretch>
                  </pic:blipFill>
                  <pic:spPr>
                    <a:xfrm>
                      <a:off x="0" y="0"/>
                      <a:ext cx="6553200" cy="2336800"/>
                    </a:xfrm>
                    <a:prstGeom prst="rect"/>
                  </pic:spPr>
                </pic:pic>
              </a:graphicData>
            </a:graphic>
          </wp:inline>
        </w:drawing>
      </w:r>
    </w:p>
    <w:p>
      <w:pPr>
        <w:pStyle w:val="Caption"/>
        <w:keepNext w:val="0"/>
      </w:pPr>
      <w:r>
        <w:rPr/>
        <w:t>Figura 1. AFND de la ER a|b. La flecha de entrada marca q0 y el círculo doble marca q5 como final.</w:t>
      </w:r>
    </w:p>
    <w:p>
      <w:pPr/>
      <w:r>
        <w:rPr/>
        <w:t xml:space="preserve">El inicio de Thompson puede crearse después de otros estados. Al terminar se renumeran todos los estados para que el inicio sea </w:t>
      </w:r>
      <w:r>
        <w:rPr>
          <w:b/>
        </w:rPr>
        <w:t>q0</w:t>
      </w:r>
      <w:r>
        <w:rPr/>
        <w:t>, conservando las conexiones. El alfabeto mantiene el orden de aparición y ε se agrega al final si no apareció explícitamente en la ER.</w:t>
      </w:r>
    </w:p>
    <w:p>
      <w:pPr>
        <w:pStyle w:val="Heading1"/>
      </w:pPr>
      <w:r>
        <w:rPr/>
        <w:t>4. Construcción del AFD</w:t>
      </w:r>
    </w:p>
    <w:p>
      <w:pPr>
        <w:pStyle w:val="Heading2"/>
      </w:pPr>
      <w:r>
        <w:rPr/>
        <w:t>Cierre épsilon</w:t>
      </w:r>
    </w:p>
    <w:p>
      <w:pPr/>
      <w:r>
        <w:rPr/>
        <w:t>El cierre ε de un conjunto S contiene sus propios estados y todos los alcanzables siguiendo solamente transiciones ε. Se usa una lista de pendientes y un conjunto de visitados para no repetir estados, incluso cuando existen ciclos.</w:t>
      </w:r>
    </w:p>
    <w:p>
      <w:pPr>
        <w:pStyle w:val="Heading2"/>
      </w:pPr>
      <w:r>
        <w:rPr/>
        <w:t>Construcción de subconjuntos</w:t>
      </w:r>
    </w:p>
    <w:p>
      <w:pPr>
        <w:spacing w:line="260" w:lineRule="exact" w:after="220"/>
        <w:ind w:left="160"/>
      </w:pPr>
      <w:r>
        <w:rPr>
          <w:rFonts w:ascii="Consolas" w:hAnsi="Consolas" w:cs="Consolas" w:eastAsia="Consolas"/>
          <w:color w:val="14263F"/>
          <w:sz w:val="18"/>
        </w:rPr>
        <w:t>inicio = cierre_ε({q0})</w:t>
      </w:r>
      <w:r>
        <w:br/>
      </w:r>
      <w:r>
        <w:rPr>
          <w:rFonts w:ascii="Consolas" w:hAnsi="Consolas" w:cs="Consolas" w:eastAsia="Consolas"/>
          <w:color w:val="14263F"/>
          <w:sz w:val="18"/>
        </w:rPr>
        <w:t>registrar inicio como Q0</w:t>
      </w:r>
      <w:r>
        <w:br/>
      </w:r>
      <w:r>
        <w:rPr>
          <w:rFonts w:ascii="Consolas" w:hAnsi="Consolas" w:cs="Consolas" w:eastAsia="Consolas"/>
          <w:color w:val="14263F"/>
          <w:sz w:val="18"/>
        </w:rPr>
        <w:t>mientras existan subconjuntos pendientes:</w:t>
      </w:r>
      <w:r>
        <w:br/>
      </w:r>
      <w:r>
        <w:rPr>
          <w:rFonts w:ascii="Consolas" w:hAnsi="Consolas" w:cs="Consolas" w:eastAsia="Consolas"/>
          <w:color w:val="14263F"/>
          <w:sz w:val="18"/>
        </w:rPr>
        <w:t xml:space="preserve">    tomar un subconjunto S</w:t>
      </w:r>
      <w:r>
        <w:br/>
      </w:r>
      <w:r>
        <w:rPr>
          <w:rFonts w:ascii="Consolas" w:hAnsi="Consolas" w:cs="Consolas" w:eastAsia="Consolas"/>
          <w:color w:val="14263F"/>
          <w:sz w:val="18"/>
        </w:rPr>
        <w:t xml:space="preserve">    para cada clase de entrada C:</w:t>
      </w:r>
      <w:r>
        <w:br/>
      </w:r>
      <w:r>
        <w:rPr>
          <w:rFonts w:ascii="Consolas" w:hAnsi="Consolas" w:cs="Consolas" w:eastAsia="Consolas"/>
          <w:color w:val="14263F"/>
          <w:sz w:val="18"/>
        </w:rPr>
        <w:t xml:space="preserve">        T = cierre_ε(mover(S, C))</w:t>
      </w:r>
      <w:r>
        <w:br/>
      </w:r>
      <w:r>
        <w:rPr>
          <w:rFonts w:ascii="Consolas" w:hAnsi="Consolas" w:cs="Consolas" w:eastAsia="Consolas"/>
          <w:color w:val="14263F"/>
          <w:sz w:val="18"/>
        </w:rPr>
        <w:t xml:space="preserve">        registrar T si todavía no existe</w:t>
      </w:r>
      <w:r>
        <w:br/>
      </w:r>
      <w:r>
        <w:rPr>
          <w:rFonts w:ascii="Consolas" w:hAnsi="Consolas" w:cs="Consolas" w:eastAsia="Consolas"/>
          <w:color w:val="14263F"/>
          <w:sz w:val="18"/>
        </w:rPr>
        <w:t xml:space="preserve">        guardar la transición de S hacia T</w:t>
      </w:r>
      <w:r>
        <w:br/>
      </w:r>
      <w:r>
        <w:rPr>
          <w:rFonts w:ascii="Consolas" w:hAnsi="Consolas" w:cs="Consolas" w:eastAsia="Consolas"/>
          <w:color w:val="14263F"/>
          <w:sz w:val="18"/>
        </w:rPr>
        <w:t xml:space="preserve">    marcar S como final si contiene el final del AFND</w:t>
      </w:r>
    </w:p>
    <w:p>
      <w:pPr/>
      <w:r>
        <w:rPr/>
        <w:t>Los estados del AFD se numeran en el orden de descubrimiento como Q0, Q1, Q2 y así sucesivamente. Si aparece el subconjunto vacío, se conserva como estado sumidero: sus transiciones permanecen en él.</w:t>
      </w:r>
    </w:p>
    <w:p>
      <w:pPr>
        <w:pStyle w:val="Heading2"/>
      </w:pPr>
      <w:r>
        <w:rPr/>
        <w:t>Punto y conjuntos negativos</w:t>
      </w:r>
    </w:p>
    <w:p>
      <w:pPr/>
      <w:r>
        <w:rPr/>
        <w:t>Una etiqueta como punto puede coincidir con la misma letra que otra transición literal. Por eso se divide el dominio ASCII en clases disjuntas según las etiquetas que coinciden con cada carácter. Todos los caracteres de una clase comparten los mismos destinos.</w:t>
      </w:r>
    </w:p>
    <w:p>
      <w:pPr/>
      <w:r>
        <w:rPr/>
        <w:t xml:space="preserve">Por ejemplo, en </w:t>
      </w:r>
      <w:r>
        <w:rPr>
          <w:b/>
        </w:rPr>
        <w:t>.b|ac</w:t>
      </w:r>
      <w:r>
        <w:rPr/>
        <w:t>, al leer a desde el inicio se suman los destinos del punto y del literal a. Esto permite aceptar tanto ab como ac. La tabla conserva Σ de la ER como referencia e informa las clases efectivas cuando difieren.</w:t>
      </w:r>
    </w:p>
    <w:p>
      <w:pPr/>
      <w:r>
        <w:rPr>
          <w:color w:val="546174"/>
          <w:sz w:val="18"/>
        </w:rPr>
        <w:t>No se realiza minimización: distintos subconjuntos alcanzables se conservan como estados distintos, aunque en algunos casos reconozcan el mismo comportamiento.</w:t>
      </w:r>
    </w:p>
    <w:p>
      <w:pPr>
        <w:pStyle w:val="Heading1"/>
      </w:pPr>
      <w:r>
        <w:rPr/>
        <w:t>5. Ejemplo completo: a|b</w:t>
      </w:r>
    </w:p>
    <w:p>
      <w:pPr/>
      <w:r>
        <w:rPr/>
        <w:t>El AFND tiene seis estados, inicio q0 y final q5. Su alfabeto mostrado es {a,b,ε}. Las siguientes filas corresponden a las transiciones generadas por el programa.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30" w:type="dxa"/>
          <w:right w:w="130" w:type="dxa"/>
        </w:tblCellMar>
      </w:tblPr>
      <w:tblGrid>
        <w:gridCol w:w="1800"/>
        <w:gridCol w:w="1800"/>
        <w:gridCol w:w="6720"/>
      </w:tblGrid>
      <w:tr>
        <w:trPr>
          <w:cantSplit/>
          <w:tblHeader w:val="true"/>
        </w:trPr>
        <w:tc>
          <w:tcPr>
            <w:tcW w:type="dxa" w:w="1800"/>
            <w:vAlign w:val="center"/>
            <w:shd w:fill="14263F"/>
          </w:tcPr>
          <w:p>
            <w:pPr>
              <w:spacing w:after="0" w:line="242" w:lineRule="exact"/>
            </w:pPr>
            <w:r>
              <w:rPr>
                <w:rFonts w:ascii="Arial" w:hAnsi="Arial" w:cs="Arial" w:eastAsia="Arial"/>
                <w:b/>
                <w:color w:val="FFFFFF"/>
                <w:sz w:val="18"/>
              </w:rPr>
              <w:t>Estado</w:t>
            </w:r>
          </w:p>
        </w:tc>
        <w:tc>
          <w:tcPr>
            <w:tcW w:type="dxa" w:w="1800"/>
            <w:vAlign w:val="center"/>
            <w:shd w:fill="14263F"/>
          </w:tcPr>
          <w:p>
            <w:pPr>
              <w:spacing w:after="0" w:line="242" w:lineRule="exact"/>
            </w:pPr>
            <w:r>
              <w:rPr>
                <w:rFonts w:ascii="Arial" w:hAnsi="Arial" w:cs="Arial" w:eastAsia="Arial"/>
                <w:b/>
                <w:color w:val="FFFFFF"/>
                <w:sz w:val="18"/>
              </w:rPr>
              <w:t>Símbolo</w:t>
            </w:r>
          </w:p>
        </w:tc>
        <w:tc>
          <w:tcPr>
            <w:tcW w:type="dxa" w:w="6720"/>
            <w:vAlign w:val="center"/>
            <w:shd w:fill="14263F"/>
          </w:tcPr>
          <w:p>
            <w:pPr>
              <w:spacing w:after="0" w:line="242" w:lineRule="exact"/>
            </w:pPr>
            <w:r>
              <w:rPr>
                <w:rFonts w:ascii="Arial" w:hAnsi="Arial" w:cs="Arial" w:eastAsia="Arial"/>
                <w:b/>
                <w:color w:val="FFFFFF"/>
                <w:sz w:val="18"/>
              </w:rPr>
              <w:t>Destinos AFND</w:t>
            </w:r>
          </w:p>
        </w:tc>
      </w:tr>
      <w:tr>
        <w:trPr>
          <w:cantSplit/>
        </w:trPr>
        <w:tc>
          <w:tcPr>
            <w:tcW w:type="dxa" w:w="1800"/>
            <w:vAlign w:val="center"/>
            <w:shd w:fill="FFFFFF"/>
          </w:tcPr>
          <w:p>
            <w:pPr>
              <w:spacing w:after="0" w:line="242" w:lineRule="exact"/>
              <w:jc w:val="center"/>
            </w:pPr>
            <w:r>
              <w:rPr>
                <w:rFonts w:ascii="Arial" w:hAnsi="Arial" w:cs="Arial" w:eastAsia="Arial"/>
                <w:color w:val="14263F"/>
                <w:sz w:val="18"/>
              </w:rPr>
              <w:t>q0</w:t>
            </w:r>
          </w:p>
        </w:tc>
        <w:tc>
          <w:tcPr>
            <w:tcW w:type="dxa" w:w="1800"/>
            <w:vAlign w:val="center"/>
            <w:shd w:fill="FFFFFF"/>
          </w:tcPr>
          <w:p>
            <w:pPr>
              <w:spacing w:after="0" w:line="242" w:lineRule="exact"/>
              <w:jc w:val="center"/>
            </w:pPr>
            <w:r>
              <w:rPr>
                <w:rFonts w:ascii="Arial" w:hAnsi="Arial" w:cs="Arial" w:eastAsia="Arial"/>
                <w:color w:val="14263F"/>
                <w:sz w:val="18"/>
              </w:rPr>
              <w:t>ε</w:t>
            </w:r>
          </w:p>
        </w:tc>
        <w:tc>
          <w:tcPr>
            <w:tcW w:type="dxa" w:w="6720"/>
            <w:vAlign w:val="center"/>
            <w:shd w:fill="FFFFFF"/>
          </w:tcPr>
          <w:p>
            <w:pPr>
              <w:spacing w:after="0" w:line="242" w:lineRule="exact"/>
              <w:jc w:val="center"/>
            </w:pPr>
            <w:r>
              <w:rPr>
                <w:rFonts w:ascii="Arial" w:hAnsi="Arial" w:cs="Arial" w:eastAsia="Arial"/>
                <w:color w:val="14263F"/>
                <w:sz w:val="18"/>
              </w:rPr>
              <w:t>{q1,q3}</w:t>
            </w:r>
          </w:p>
        </w:tc>
      </w:tr>
      <w:tr>
        <w:trPr>
          <w:cantSplit/>
        </w:trPr>
        <w:tc>
          <w:tcPr>
            <w:tcW w:type="dxa" w:w="1800"/>
            <w:vAlign w:val="center"/>
            <w:shd w:fill="EDF2F7"/>
          </w:tcPr>
          <w:p>
            <w:pPr>
              <w:spacing w:after="0" w:line="242" w:lineRule="exact"/>
              <w:jc w:val="center"/>
            </w:pPr>
            <w:r>
              <w:rPr>
                <w:rFonts w:ascii="Arial" w:hAnsi="Arial" w:cs="Arial" w:eastAsia="Arial"/>
                <w:color w:val="14263F"/>
                <w:sz w:val="18"/>
              </w:rPr>
              <w:t>q1</w:t>
            </w:r>
          </w:p>
        </w:tc>
        <w:tc>
          <w:tcPr>
            <w:tcW w:type="dxa" w:w="1800"/>
            <w:vAlign w:val="center"/>
            <w:shd w:fill="EDF2F7"/>
          </w:tcPr>
          <w:p>
            <w:pPr>
              <w:spacing w:after="0" w:line="242" w:lineRule="exact"/>
              <w:jc w:val="center"/>
            </w:pPr>
            <w:r>
              <w:rPr>
                <w:rFonts w:ascii="Arial" w:hAnsi="Arial" w:cs="Arial" w:eastAsia="Arial"/>
                <w:color w:val="14263F"/>
                <w:sz w:val="18"/>
              </w:rPr>
              <w:t>a</w:t>
            </w:r>
          </w:p>
        </w:tc>
        <w:tc>
          <w:tcPr>
            <w:tcW w:type="dxa" w:w="6720"/>
            <w:vAlign w:val="center"/>
            <w:shd w:fill="EDF2F7"/>
          </w:tcPr>
          <w:p>
            <w:pPr>
              <w:spacing w:after="0" w:line="242" w:lineRule="exact"/>
              <w:jc w:val="center"/>
            </w:pPr>
            <w:r>
              <w:rPr>
                <w:rFonts w:ascii="Arial" w:hAnsi="Arial" w:cs="Arial" w:eastAsia="Arial"/>
                <w:color w:val="14263F"/>
                <w:sz w:val="18"/>
              </w:rPr>
              <w:t>{q2}</w:t>
            </w:r>
          </w:p>
        </w:tc>
      </w:tr>
      <w:tr>
        <w:trPr>
          <w:cantSplit/>
        </w:trPr>
        <w:tc>
          <w:tcPr>
            <w:tcW w:type="dxa" w:w="1800"/>
            <w:vAlign w:val="center"/>
            <w:shd w:fill="FFFFFF"/>
          </w:tcPr>
          <w:p>
            <w:pPr>
              <w:spacing w:after="0" w:line="242" w:lineRule="exact"/>
              <w:jc w:val="center"/>
            </w:pPr>
            <w:r>
              <w:rPr>
                <w:rFonts w:ascii="Arial" w:hAnsi="Arial" w:cs="Arial" w:eastAsia="Arial"/>
                <w:color w:val="14263F"/>
                <w:sz w:val="18"/>
              </w:rPr>
              <w:t>q2</w:t>
            </w:r>
          </w:p>
        </w:tc>
        <w:tc>
          <w:tcPr>
            <w:tcW w:type="dxa" w:w="1800"/>
            <w:vAlign w:val="center"/>
            <w:shd w:fill="FFFFFF"/>
          </w:tcPr>
          <w:p>
            <w:pPr>
              <w:spacing w:after="0" w:line="242" w:lineRule="exact"/>
              <w:jc w:val="center"/>
            </w:pPr>
            <w:r>
              <w:rPr>
                <w:rFonts w:ascii="Arial" w:hAnsi="Arial" w:cs="Arial" w:eastAsia="Arial"/>
                <w:color w:val="14263F"/>
                <w:sz w:val="18"/>
              </w:rPr>
              <w:t>ε</w:t>
            </w:r>
          </w:p>
        </w:tc>
        <w:tc>
          <w:tcPr>
            <w:tcW w:type="dxa" w:w="6720"/>
            <w:vAlign w:val="center"/>
            <w:shd w:fill="FFFFFF"/>
          </w:tcPr>
          <w:p>
            <w:pPr>
              <w:spacing w:after="0" w:line="242" w:lineRule="exact"/>
              <w:jc w:val="center"/>
            </w:pPr>
            <w:r>
              <w:rPr>
                <w:rFonts w:ascii="Arial" w:hAnsi="Arial" w:cs="Arial" w:eastAsia="Arial"/>
                <w:color w:val="14263F"/>
                <w:sz w:val="18"/>
              </w:rPr>
              <w:t>{q5}</w:t>
            </w:r>
          </w:p>
        </w:tc>
      </w:tr>
      <w:tr>
        <w:trPr>
          <w:cantSplit/>
        </w:trPr>
        <w:tc>
          <w:tcPr>
            <w:tcW w:type="dxa" w:w="1800"/>
            <w:vAlign w:val="center"/>
            <w:shd w:fill="EDF2F7"/>
          </w:tcPr>
          <w:p>
            <w:pPr>
              <w:spacing w:after="0" w:line="242" w:lineRule="exact"/>
              <w:jc w:val="center"/>
            </w:pPr>
            <w:r>
              <w:rPr>
                <w:rFonts w:ascii="Arial" w:hAnsi="Arial" w:cs="Arial" w:eastAsia="Arial"/>
                <w:color w:val="14263F"/>
                <w:sz w:val="18"/>
              </w:rPr>
              <w:t>q3</w:t>
            </w:r>
          </w:p>
        </w:tc>
        <w:tc>
          <w:tcPr>
            <w:tcW w:type="dxa" w:w="1800"/>
            <w:vAlign w:val="center"/>
            <w:shd w:fill="EDF2F7"/>
          </w:tcPr>
          <w:p>
            <w:pPr>
              <w:spacing w:after="0" w:line="242" w:lineRule="exact"/>
              <w:jc w:val="center"/>
            </w:pPr>
            <w:r>
              <w:rPr>
                <w:rFonts w:ascii="Arial" w:hAnsi="Arial" w:cs="Arial" w:eastAsia="Arial"/>
                <w:color w:val="14263F"/>
                <w:sz w:val="18"/>
              </w:rPr>
              <w:t>b</w:t>
            </w:r>
          </w:p>
        </w:tc>
        <w:tc>
          <w:tcPr>
            <w:tcW w:type="dxa" w:w="6720"/>
            <w:vAlign w:val="center"/>
            <w:shd w:fill="EDF2F7"/>
          </w:tcPr>
          <w:p>
            <w:pPr>
              <w:spacing w:after="0" w:line="242" w:lineRule="exact"/>
              <w:jc w:val="center"/>
            </w:pPr>
            <w:r>
              <w:rPr>
                <w:rFonts w:ascii="Arial" w:hAnsi="Arial" w:cs="Arial" w:eastAsia="Arial"/>
                <w:color w:val="14263F"/>
                <w:sz w:val="18"/>
              </w:rPr>
              <w:t>{q4}</w:t>
            </w:r>
          </w:p>
        </w:tc>
      </w:tr>
      <w:tr>
        <w:trPr>
          <w:cantSplit/>
        </w:trPr>
        <w:tc>
          <w:tcPr>
            <w:tcW w:type="dxa" w:w="1800"/>
            <w:vAlign w:val="center"/>
            <w:shd w:fill="FFFFFF"/>
          </w:tcPr>
          <w:p>
            <w:pPr>
              <w:spacing w:after="0" w:line="242" w:lineRule="exact"/>
              <w:jc w:val="center"/>
            </w:pPr>
            <w:r>
              <w:rPr>
                <w:rFonts w:ascii="Arial" w:hAnsi="Arial" w:cs="Arial" w:eastAsia="Arial"/>
                <w:color w:val="14263F"/>
                <w:sz w:val="18"/>
              </w:rPr>
              <w:t>q4</w:t>
            </w:r>
          </w:p>
        </w:tc>
        <w:tc>
          <w:tcPr>
            <w:tcW w:type="dxa" w:w="1800"/>
            <w:vAlign w:val="center"/>
            <w:shd w:fill="FFFFFF"/>
          </w:tcPr>
          <w:p>
            <w:pPr>
              <w:spacing w:after="0" w:line="242" w:lineRule="exact"/>
              <w:jc w:val="center"/>
            </w:pPr>
            <w:r>
              <w:rPr>
                <w:rFonts w:ascii="Arial" w:hAnsi="Arial" w:cs="Arial" w:eastAsia="Arial"/>
                <w:color w:val="14263F"/>
                <w:sz w:val="18"/>
              </w:rPr>
              <w:t>ε</w:t>
            </w:r>
          </w:p>
        </w:tc>
        <w:tc>
          <w:tcPr>
            <w:tcW w:type="dxa" w:w="6720"/>
            <w:vAlign w:val="center"/>
            <w:shd w:fill="FFFFFF"/>
          </w:tcPr>
          <w:p>
            <w:pPr>
              <w:spacing w:after="0" w:line="242" w:lineRule="exact"/>
              <w:jc w:val="center"/>
            </w:pPr>
            <w:r>
              <w:rPr>
                <w:rFonts w:ascii="Arial" w:hAnsi="Arial" w:cs="Arial" w:eastAsia="Arial"/>
                <w:color w:val="14263F"/>
                <w:sz w:val="18"/>
              </w:rPr>
              <w:t>{q5}</w:t>
            </w:r>
          </w:p>
        </w:tc>
      </w:tr>
    </w:tbl>
    <w:p>
      <w:pPr>
        <w:spacing w:after="80" w:line="40" w:lineRule="exact" w:before="0"/>
      </w:pPr>
    </w:p>
    <w:p>
      <w:pPr>
        <w:pStyle w:val="Heading2"/>
      </w:pPr>
      <w:r>
        <w:rPr/>
        <w:t>Subconjuntos y matriz del AFD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30" w:type="dxa"/>
          <w:right w:w="130" w:type="dxa"/>
        </w:tblCellMar>
      </w:tblPr>
      <w:tblGrid>
        <w:gridCol w:w="1260"/>
        <w:gridCol w:w="4100"/>
        <w:gridCol w:w="1560"/>
        <w:gridCol w:w="1560"/>
        <w:gridCol w:w="1840"/>
      </w:tblGrid>
      <w:tr>
        <w:trPr>
          <w:cantSplit/>
          <w:tblHeader w:val="true"/>
        </w:trPr>
        <w:tc>
          <w:tcPr>
            <w:tcW w:type="dxa" w:w="1260"/>
            <w:vAlign w:val="center"/>
            <w:shd w:fill="14263F"/>
          </w:tcPr>
          <w:p>
            <w:pPr>
              <w:spacing w:after="0" w:line="242" w:lineRule="exact"/>
            </w:pPr>
            <w:r>
              <w:rPr>
                <w:rFonts w:ascii="Arial" w:hAnsi="Arial" w:cs="Arial" w:eastAsia="Arial"/>
                <w:b/>
                <w:color w:val="FFFFFF"/>
                <w:sz w:val="18"/>
              </w:rPr>
              <w:t>Estado</w:t>
            </w:r>
          </w:p>
        </w:tc>
        <w:tc>
          <w:tcPr>
            <w:tcW w:type="dxa" w:w="4100"/>
            <w:vAlign w:val="center"/>
            <w:shd w:fill="14263F"/>
          </w:tcPr>
          <w:p>
            <w:pPr>
              <w:spacing w:after="0" w:line="242" w:lineRule="exact"/>
            </w:pPr>
            <w:r>
              <w:rPr>
                <w:rFonts w:ascii="Arial" w:hAnsi="Arial" w:cs="Arial" w:eastAsia="Arial"/>
                <w:b/>
                <w:color w:val="FFFFFF"/>
                <w:sz w:val="18"/>
              </w:rPr>
              <w:t>Subconjunto AFND</w:t>
            </w:r>
          </w:p>
        </w:tc>
        <w:tc>
          <w:tcPr>
            <w:tcW w:type="dxa" w:w="1560"/>
            <w:vAlign w:val="center"/>
            <w:shd w:fill="14263F"/>
          </w:tcPr>
          <w:p>
            <w:pPr>
              <w:spacing w:after="0" w:line="242" w:lineRule="exact"/>
            </w:pPr>
            <w:r>
              <w:rPr>
                <w:rFonts w:ascii="Arial" w:hAnsi="Arial" w:cs="Arial" w:eastAsia="Arial"/>
                <w:b/>
                <w:color w:val="FFFFFF"/>
                <w:sz w:val="18"/>
              </w:rPr>
              <w:t>Con a</w:t>
            </w:r>
          </w:p>
        </w:tc>
        <w:tc>
          <w:tcPr>
            <w:tcW w:type="dxa" w:w="1560"/>
            <w:vAlign w:val="center"/>
            <w:shd w:fill="14263F"/>
          </w:tcPr>
          <w:p>
            <w:pPr>
              <w:spacing w:after="0" w:line="242" w:lineRule="exact"/>
            </w:pPr>
            <w:r>
              <w:rPr>
                <w:rFonts w:ascii="Arial" w:hAnsi="Arial" w:cs="Arial" w:eastAsia="Arial"/>
                <w:b/>
                <w:color w:val="FFFFFF"/>
                <w:sz w:val="18"/>
              </w:rPr>
              <w:t>Con b</w:t>
            </w:r>
          </w:p>
        </w:tc>
        <w:tc>
          <w:tcPr>
            <w:tcW w:type="dxa" w:w="1840"/>
            <w:vAlign w:val="center"/>
            <w:shd w:fill="14263F"/>
          </w:tcPr>
          <w:p>
            <w:pPr>
              <w:spacing w:after="0" w:line="242" w:lineRule="exact"/>
            </w:pPr>
            <w:r>
              <w:rPr>
                <w:rFonts w:ascii="Arial" w:hAnsi="Arial" w:cs="Arial" w:eastAsia="Arial"/>
                <w:b/>
                <w:color w:val="FFFFFF"/>
                <w:sz w:val="18"/>
              </w:rPr>
              <w:t>Final</w:t>
            </w:r>
          </w:p>
        </w:tc>
      </w:tr>
      <w:tr>
        <w:trPr>
          <w:cantSplit/>
        </w:trPr>
        <w:tc>
          <w:tcPr>
            <w:tcW w:type="dxa" w:w="1260"/>
            <w:vAlign w:val="center"/>
            <w:shd w:fill="FFFFFF"/>
          </w:tcPr>
          <w:p>
            <w:pPr>
              <w:spacing w:after="0" w:line="242" w:lineRule="exact"/>
              <w:jc w:val="center"/>
            </w:pPr>
            <w:r>
              <w:rPr>
                <w:rFonts w:ascii="Arial" w:hAnsi="Arial" w:cs="Arial" w:eastAsia="Arial"/>
                <w:color w:val="14263F"/>
                <w:sz w:val="18"/>
              </w:rPr>
              <w:t>Q0</w:t>
            </w:r>
          </w:p>
        </w:tc>
        <w:tc>
          <w:tcPr>
            <w:tcW w:type="dxa" w:w="4100"/>
            <w:vAlign w:val="center"/>
            <w:shd w:fill="FFFFFF"/>
          </w:tcPr>
          <w:p>
            <w:pPr>
              <w:spacing w:after="0" w:line="242" w:lineRule="exact"/>
              <w:jc w:val="center"/>
            </w:pPr>
            <w:r>
              <w:rPr>
                <w:rFonts w:ascii="Arial" w:hAnsi="Arial" w:cs="Arial" w:eastAsia="Arial"/>
                <w:color w:val="14263F"/>
                <w:sz w:val="18"/>
              </w:rPr>
              <w:t>q0,q1,q3</w:t>
            </w:r>
          </w:p>
        </w:tc>
        <w:tc>
          <w:tcPr>
            <w:tcW w:type="dxa" w:w="1560"/>
            <w:vAlign w:val="center"/>
            <w:shd w:fill="FFFFFF"/>
          </w:tcPr>
          <w:p>
            <w:pPr>
              <w:spacing w:after="0" w:line="242" w:lineRule="exact"/>
              <w:jc w:val="center"/>
            </w:pPr>
            <w:r>
              <w:rPr>
                <w:rFonts w:ascii="Arial" w:hAnsi="Arial" w:cs="Arial" w:eastAsia="Arial"/>
                <w:color w:val="14263F"/>
                <w:sz w:val="18"/>
              </w:rPr>
              <w:t>Q1</w:t>
            </w:r>
          </w:p>
        </w:tc>
        <w:tc>
          <w:tcPr>
            <w:tcW w:type="dxa" w:w="1560"/>
            <w:vAlign w:val="center"/>
            <w:shd w:fill="FFFFFF"/>
          </w:tcPr>
          <w:p>
            <w:pPr>
              <w:spacing w:after="0" w:line="242" w:lineRule="exact"/>
              <w:jc w:val="center"/>
            </w:pPr>
            <w:r>
              <w:rPr>
                <w:rFonts w:ascii="Arial" w:hAnsi="Arial" w:cs="Arial" w:eastAsia="Arial"/>
                <w:color w:val="14263F"/>
                <w:sz w:val="18"/>
              </w:rPr>
              <w:t>Q2</w:t>
            </w:r>
          </w:p>
        </w:tc>
        <w:tc>
          <w:tcPr>
            <w:tcW w:type="dxa" w:w="1840"/>
            <w:vAlign w:val="center"/>
            <w:shd w:fill="FFFFFF"/>
          </w:tcPr>
          <w:p>
            <w:pPr>
              <w:spacing w:after="0" w:line="242" w:lineRule="exact"/>
              <w:jc w:val="center"/>
            </w:pPr>
            <w:r>
              <w:rPr>
                <w:rFonts w:ascii="Arial" w:hAnsi="Arial" w:cs="Arial" w:eastAsia="Arial"/>
                <w:color w:val="14263F"/>
                <w:sz w:val="18"/>
              </w:rPr>
              <w:t>No</w:t>
            </w:r>
          </w:p>
        </w:tc>
      </w:tr>
      <w:tr>
        <w:trPr>
          <w:cantSplit/>
        </w:trPr>
        <w:tc>
          <w:tcPr>
            <w:tcW w:type="dxa" w:w="1260"/>
            <w:vAlign w:val="center"/>
            <w:shd w:fill="EDF2F7"/>
          </w:tcPr>
          <w:p>
            <w:pPr>
              <w:spacing w:after="0" w:line="242" w:lineRule="exact"/>
              <w:jc w:val="center"/>
            </w:pPr>
            <w:r>
              <w:rPr>
                <w:rFonts w:ascii="Arial" w:hAnsi="Arial" w:cs="Arial" w:eastAsia="Arial"/>
                <w:color w:val="14263F"/>
                <w:sz w:val="18"/>
              </w:rPr>
              <w:t>Q1</w:t>
            </w:r>
          </w:p>
        </w:tc>
        <w:tc>
          <w:tcPr>
            <w:tcW w:type="dxa" w:w="4100"/>
            <w:vAlign w:val="center"/>
            <w:shd w:fill="EDF2F7"/>
          </w:tcPr>
          <w:p>
            <w:pPr>
              <w:spacing w:after="0" w:line="242" w:lineRule="exact"/>
              <w:jc w:val="center"/>
            </w:pPr>
            <w:r>
              <w:rPr>
                <w:rFonts w:ascii="Arial" w:hAnsi="Arial" w:cs="Arial" w:eastAsia="Arial"/>
                <w:color w:val="14263F"/>
                <w:sz w:val="18"/>
              </w:rPr>
              <w:t>q2,q5</w:t>
            </w:r>
          </w:p>
        </w:tc>
        <w:tc>
          <w:tcPr>
            <w:tcW w:type="dxa" w:w="1560"/>
            <w:vAlign w:val="center"/>
            <w:shd w:fill="EDF2F7"/>
          </w:tcPr>
          <w:p>
            <w:pPr>
              <w:spacing w:after="0" w:line="242" w:lineRule="exact"/>
              <w:jc w:val="center"/>
            </w:pPr>
            <w:r>
              <w:rPr>
                <w:rFonts w:ascii="Arial" w:hAnsi="Arial" w:cs="Arial" w:eastAsia="Arial"/>
                <w:color w:val="14263F"/>
                <w:sz w:val="18"/>
              </w:rPr>
              <w:t>Q3</w:t>
            </w:r>
          </w:p>
        </w:tc>
        <w:tc>
          <w:tcPr>
            <w:tcW w:type="dxa" w:w="1560"/>
            <w:vAlign w:val="center"/>
            <w:shd w:fill="EDF2F7"/>
          </w:tcPr>
          <w:p>
            <w:pPr>
              <w:spacing w:after="0" w:line="242" w:lineRule="exact"/>
              <w:jc w:val="center"/>
            </w:pPr>
            <w:r>
              <w:rPr>
                <w:rFonts w:ascii="Arial" w:hAnsi="Arial" w:cs="Arial" w:eastAsia="Arial"/>
                <w:color w:val="14263F"/>
                <w:sz w:val="18"/>
              </w:rPr>
              <w:t>Q3</w:t>
            </w:r>
          </w:p>
        </w:tc>
        <w:tc>
          <w:tcPr>
            <w:tcW w:type="dxa" w:w="1840"/>
            <w:vAlign w:val="center"/>
            <w:shd w:fill="EDF2F7"/>
          </w:tcPr>
          <w:p>
            <w:pPr>
              <w:spacing w:after="0" w:line="242" w:lineRule="exact"/>
              <w:jc w:val="center"/>
            </w:pPr>
            <w:r>
              <w:rPr>
                <w:rFonts w:ascii="Arial" w:hAnsi="Arial" w:cs="Arial" w:eastAsia="Arial"/>
                <w:color w:val="14263F"/>
                <w:sz w:val="18"/>
              </w:rPr>
              <w:t>Sí</w:t>
            </w:r>
          </w:p>
        </w:tc>
      </w:tr>
      <w:tr>
        <w:trPr>
          <w:cantSplit/>
        </w:trPr>
        <w:tc>
          <w:tcPr>
            <w:tcW w:type="dxa" w:w="1260"/>
            <w:vAlign w:val="center"/>
            <w:shd w:fill="FFFFFF"/>
          </w:tcPr>
          <w:p>
            <w:pPr>
              <w:spacing w:after="0" w:line="242" w:lineRule="exact"/>
              <w:jc w:val="center"/>
            </w:pPr>
            <w:r>
              <w:rPr>
                <w:rFonts w:ascii="Arial" w:hAnsi="Arial" w:cs="Arial" w:eastAsia="Arial"/>
                <w:color w:val="14263F"/>
                <w:sz w:val="18"/>
              </w:rPr>
              <w:t>Q2</w:t>
            </w:r>
          </w:p>
        </w:tc>
        <w:tc>
          <w:tcPr>
            <w:tcW w:type="dxa" w:w="4100"/>
            <w:vAlign w:val="center"/>
            <w:shd w:fill="FFFFFF"/>
          </w:tcPr>
          <w:p>
            <w:pPr>
              <w:spacing w:after="0" w:line="242" w:lineRule="exact"/>
              <w:jc w:val="center"/>
            </w:pPr>
            <w:r>
              <w:rPr>
                <w:rFonts w:ascii="Arial" w:hAnsi="Arial" w:cs="Arial" w:eastAsia="Arial"/>
                <w:color w:val="14263F"/>
                <w:sz w:val="18"/>
              </w:rPr>
              <w:t>q4,q5</w:t>
            </w:r>
          </w:p>
        </w:tc>
        <w:tc>
          <w:tcPr>
            <w:tcW w:type="dxa" w:w="1560"/>
            <w:vAlign w:val="center"/>
            <w:shd w:fill="FFFFFF"/>
          </w:tcPr>
          <w:p>
            <w:pPr>
              <w:spacing w:after="0" w:line="242" w:lineRule="exact"/>
              <w:jc w:val="center"/>
            </w:pPr>
            <w:r>
              <w:rPr>
                <w:rFonts w:ascii="Arial" w:hAnsi="Arial" w:cs="Arial" w:eastAsia="Arial"/>
                <w:color w:val="14263F"/>
                <w:sz w:val="18"/>
              </w:rPr>
              <w:t>Q3</w:t>
            </w:r>
          </w:p>
        </w:tc>
        <w:tc>
          <w:tcPr>
            <w:tcW w:type="dxa" w:w="1560"/>
            <w:vAlign w:val="center"/>
            <w:shd w:fill="FFFFFF"/>
          </w:tcPr>
          <w:p>
            <w:pPr>
              <w:spacing w:after="0" w:line="242" w:lineRule="exact"/>
              <w:jc w:val="center"/>
            </w:pPr>
            <w:r>
              <w:rPr>
                <w:rFonts w:ascii="Arial" w:hAnsi="Arial" w:cs="Arial" w:eastAsia="Arial"/>
                <w:color w:val="14263F"/>
                <w:sz w:val="18"/>
              </w:rPr>
              <w:t>Q3</w:t>
            </w:r>
          </w:p>
        </w:tc>
        <w:tc>
          <w:tcPr>
            <w:tcW w:type="dxa" w:w="1840"/>
            <w:vAlign w:val="center"/>
            <w:shd w:fill="FFFFFF"/>
          </w:tcPr>
          <w:p>
            <w:pPr>
              <w:spacing w:after="0" w:line="242" w:lineRule="exact"/>
              <w:jc w:val="center"/>
            </w:pPr>
            <w:r>
              <w:rPr>
                <w:rFonts w:ascii="Arial" w:hAnsi="Arial" w:cs="Arial" w:eastAsia="Arial"/>
                <w:color w:val="14263F"/>
                <w:sz w:val="18"/>
              </w:rPr>
              <w:t>Sí</w:t>
            </w:r>
          </w:p>
        </w:tc>
      </w:tr>
      <w:tr>
        <w:trPr>
          <w:cantSplit/>
        </w:trPr>
        <w:tc>
          <w:tcPr>
            <w:tcW w:type="dxa" w:w="1260"/>
            <w:vAlign w:val="center"/>
            <w:shd w:fill="EDF2F7"/>
          </w:tcPr>
          <w:p>
            <w:pPr>
              <w:spacing w:after="0" w:line="242" w:lineRule="exact"/>
              <w:jc w:val="center"/>
            </w:pPr>
            <w:r>
              <w:rPr>
                <w:rFonts w:ascii="Arial" w:hAnsi="Arial" w:cs="Arial" w:eastAsia="Arial"/>
                <w:color w:val="14263F"/>
                <w:sz w:val="18"/>
              </w:rPr>
              <w:t>Q3</w:t>
            </w:r>
          </w:p>
        </w:tc>
        <w:tc>
          <w:tcPr>
            <w:tcW w:type="dxa" w:w="4100"/>
            <w:vAlign w:val="center"/>
            <w:shd w:fill="EDF2F7"/>
          </w:tcPr>
          <w:p>
            <w:pPr>
              <w:spacing w:after="0" w:line="242" w:lineRule="exact"/>
              <w:jc w:val="center"/>
            </w:pPr>
            <w:r>
              <w:rPr>
                <w:rFonts w:ascii="Segoe UI Symbol" w:hAnsi="Segoe UI Symbol" w:cs="Segoe UI Symbol" w:eastAsia="Segoe UI Symbol"/>
                <w:color w:val="14263F"/>
                <w:sz w:val="18"/>
              </w:rPr>
              <w:t>∅</w:t>
            </w:r>
          </w:p>
        </w:tc>
        <w:tc>
          <w:tcPr>
            <w:tcW w:type="dxa" w:w="1560"/>
            <w:vAlign w:val="center"/>
            <w:shd w:fill="EDF2F7"/>
          </w:tcPr>
          <w:p>
            <w:pPr>
              <w:spacing w:after="0" w:line="242" w:lineRule="exact"/>
              <w:jc w:val="center"/>
            </w:pPr>
            <w:r>
              <w:rPr>
                <w:rFonts w:ascii="Arial" w:hAnsi="Arial" w:cs="Arial" w:eastAsia="Arial"/>
                <w:color w:val="14263F"/>
                <w:sz w:val="18"/>
              </w:rPr>
              <w:t>Q3</w:t>
            </w:r>
          </w:p>
        </w:tc>
        <w:tc>
          <w:tcPr>
            <w:tcW w:type="dxa" w:w="1560"/>
            <w:vAlign w:val="center"/>
            <w:shd w:fill="EDF2F7"/>
          </w:tcPr>
          <w:p>
            <w:pPr>
              <w:spacing w:after="0" w:line="242" w:lineRule="exact"/>
              <w:jc w:val="center"/>
            </w:pPr>
            <w:r>
              <w:rPr>
                <w:rFonts w:ascii="Arial" w:hAnsi="Arial" w:cs="Arial" w:eastAsia="Arial"/>
                <w:color w:val="14263F"/>
                <w:sz w:val="18"/>
              </w:rPr>
              <w:t>Q3</w:t>
            </w:r>
          </w:p>
        </w:tc>
        <w:tc>
          <w:tcPr>
            <w:tcW w:type="dxa" w:w="1840"/>
            <w:vAlign w:val="center"/>
            <w:shd w:fill="EDF2F7"/>
          </w:tcPr>
          <w:p>
            <w:pPr>
              <w:spacing w:after="0" w:line="242" w:lineRule="exact"/>
              <w:jc w:val="center"/>
            </w:pPr>
            <w:r>
              <w:rPr>
                <w:rFonts w:ascii="Arial" w:hAnsi="Arial" w:cs="Arial" w:eastAsia="Arial"/>
                <w:color w:val="14263F"/>
                <w:sz w:val="18"/>
              </w:rPr>
              <w:t>No</w:t>
            </w:r>
          </w:p>
        </w:tc>
      </w:tr>
    </w:tbl>
    <w:p>
      <w:pPr>
        <w:spacing w:after="80" w:line="40" w:lineRule="exact" w:before="0"/>
      </w:pPr>
    </w:p>
    <w:p>
      <w:pPr/>
      <w:r>
        <w:rPr/>
        <w:t>Q0 es el estado inicial. Q1 y Q2 son finales porque contienen q5; Q3 representa el subconjunto vacío. El alfabeto consumible del AFD es {a,b}.</w:t>
      </w:r>
    </w:p>
    <w:p>
      <w:pPr>
        <w:spacing w:line="260" w:lineRule="exact" w:after="220"/>
        <w:ind w:left="160"/>
      </w:pPr>
      <w:r>
        <w:rPr>
          <w:rFonts w:ascii="Consolas" w:hAnsi="Consolas" w:cs="Consolas" w:eastAsia="Consolas"/>
          <w:color w:val="14263F"/>
          <w:sz w:val="18"/>
        </w:rPr>
        <w:t>Entrada: a               Entrada: ab</w:t>
      </w:r>
      <w:r>
        <w:br/>
      </w:r>
      <w:r>
        <w:rPr>
          <w:rFonts w:ascii="Consolas" w:hAnsi="Consolas" w:cs="Consolas" w:eastAsia="Consolas"/>
          <w:color w:val="14263F"/>
          <w:sz w:val="18"/>
        </w:rPr>
        <w:t>Q0|a|Q1                  Q0|a|Q1</w:t>
      </w:r>
      <w:r>
        <w:br/>
      </w:r>
      <w:r>
        <w:rPr>
          <w:rFonts w:ascii="Consolas" w:hAnsi="Consolas" w:cs="Consolas" w:eastAsia="Consolas"/>
          <w:color w:val="14263F"/>
          <w:sz w:val="18"/>
        </w:rPr>
        <w:t>Cadena aceptada          Q1|b|Q3</w:t>
      </w:r>
      <w:r>
        <w:br/>
      </w:r>
      <w:r>
        <w:rPr>
          <w:rFonts w:ascii="Consolas" w:hAnsi="Consolas" w:cs="Consolas" w:eastAsia="Consolas"/>
          <w:color w:val="14263F"/>
          <w:sz w:val="18"/>
        </w:rPr>
        <w:t xml:space="preserve">                         Cadena rechazada</w:t>
      </w:r>
    </w:p>
    <w:p>
      <w:pPr/>
      <w:r>
        <w:rPr/>
        <w:t>El ejemplo muestra que se evalúa la cadena completa. Haber pasado por un estado final no es suficiente si quedan caracteres pendientes.</w:t>
      </w:r>
    </w:p>
    <w:p>
      <w:pPr>
        <w:pStyle w:val="Heading1"/>
      </w:pPr>
      <w:r>
        <w:rPr/>
        <w:t>6. Evaluación y decisiones técnicas</w:t>
      </w:r>
    </w:p>
    <w:p>
      <w:pPr/>
      <w:r>
        <w:rPr/>
        <w:t>La evaluación empieza en Q0. Para cada carácter se localiza su clase y se consulta la fila de la matriz del estado actual. Se registra origen, carácter y destino. Al finalizar, la cadena se acepta si el estado actual pertenece al conjunto de finales.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30" w:type="dxa"/>
          <w:right w:w="130" w:type="dxa"/>
        </w:tblCellMar>
      </w:tblPr>
      <w:tblGrid>
        <w:gridCol w:w="4840"/>
        <w:gridCol w:w="5480"/>
      </w:tblGrid>
      <w:tr>
        <w:trPr>
          <w:cantSplit/>
          <w:tblHeader w:val="true"/>
        </w:trPr>
        <w:tc>
          <w:tcPr>
            <w:tcW w:type="dxa" w:w="4840"/>
            <w:vAlign w:val="center"/>
            <w:shd w:fill="14263F"/>
          </w:tcPr>
          <w:p>
            <w:pPr>
              <w:spacing w:after="0" w:line="242" w:lineRule="exact"/>
            </w:pPr>
            <w:r>
              <w:rPr>
                <w:rFonts w:ascii="Arial" w:hAnsi="Arial" w:cs="Arial" w:eastAsia="Arial"/>
                <w:b/>
                <w:color w:val="FFFFFF"/>
                <w:sz w:val="18"/>
              </w:rPr>
              <w:t>Situación</w:t>
            </w:r>
          </w:p>
        </w:tc>
        <w:tc>
          <w:tcPr>
            <w:tcW w:type="dxa" w:w="5480"/>
            <w:vAlign w:val="center"/>
            <w:shd w:fill="14263F"/>
          </w:tcPr>
          <w:p>
            <w:pPr>
              <w:spacing w:after="0" w:line="242" w:lineRule="exact"/>
            </w:pPr>
            <w:r>
              <w:rPr>
                <w:rFonts w:ascii="Arial" w:hAnsi="Arial" w:cs="Arial" w:eastAsia="Arial"/>
                <w:b/>
                <w:color w:val="FFFFFF"/>
                <w:sz w:val="18"/>
              </w:rPr>
              <w:t>Respuesta</w:t>
            </w:r>
          </w:p>
        </w:tc>
      </w:tr>
      <w:tr>
        <w:trPr>
          <w:cantSplit/>
        </w:trPr>
        <w:tc>
          <w:tcPr>
            <w:tcW w:type="dxa" w:w="4840"/>
            <w:vAlign w:val="center"/>
            <w:shd w:fill="FFFFFF"/>
          </w:tcPr>
          <w:p>
            <w:pPr>
              <w:spacing w:after="0" w:line="242" w:lineRule="exact"/>
            </w:pPr>
            <w:r>
              <w:rPr>
                <w:rFonts w:ascii="Arial" w:hAnsi="Arial" w:cs="Arial" w:eastAsia="Arial"/>
                <w:color w:val="14263F"/>
                <w:sz w:val="18"/>
              </w:rPr>
              <w:t>Estado final después de consumir la cadena</w:t>
            </w:r>
          </w:p>
        </w:tc>
        <w:tc>
          <w:tcPr>
            <w:tcW w:type="dxa" w:w="5480"/>
            <w:vAlign w:val="center"/>
            <w:shd w:fill="FFFFFF"/>
          </w:tcPr>
          <w:p>
            <w:pPr>
              <w:spacing w:after="0" w:line="242" w:lineRule="exact"/>
            </w:pPr>
            <w:r>
              <w:rPr>
                <w:rFonts w:ascii="Arial" w:hAnsi="Arial" w:cs="Arial" w:eastAsia="Arial"/>
                <w:color w:val="14263F"/>
                <w:sz w:val="18"/>
              </w:rPr>
              <w:t>Cadena aceptada; código de salida 1.</w:t>
            </w:r>
          </w:p>
        </w:tc>
      </w:tr>
      <w:tr>
        <w:trPr>
          <w:cantSplit/>
        </w:trPr>
        <w:tc>
          <w:tcPr>
            <w:tcW w:type="dxa" w:w="4840"/>
            <w:vAlign w:val="center"/>
            <w:shd w:fill="EDF2F7"/>
          </w:tcPr>
          <w:p>
            <w:pPr>
              <w:spacing w:after="0" w:line="242" w:lineRule="exact"/>
            </w:pPr>
            <w:r>
              <w:rPr>
                <w:rFonts w:ascii="Arial" w:hAnsi="Arial" w:cs="Arial" w:eastAsia="Arial"/>
                <w:color w:val="14263F"/>
                <w:sz w:val="18"/>
              </w:rPr>
              <w:t>Estado no final o carácter fuera del alfabeto</w:t>
            </w:r>
          </w:p>
        </w:tc>
        <w:tc>
          <w:tcPr>
            <w:tcW w:type="dxa" w:w="5480"/>
            <w:vAlign w:val="center"/>
            <w:shd w:fill="EDF2F7"/>
          </w:tcPr>
          <w:p>
            <w:pPr>
              <w:spacing w:after="0" w:line="242" w:lineRule="exact"/>
            </w:pPr>
            <w:r>
              <w:rPr>
                <w:rFonts w:ascii="Arial" w:hAnsi="Arial" w:cs="Arial" w:eastAsia="Arial"/>
                <w:color w:val="14263F"/>
                <w:sz w:val="18"/>
              </w:rPr>
              <w:t xml:space="preserve">Cadena rechazada; código de salida 0. Si falta transición, el recorrido muestra </w:t>
            </w:r>
            <w:r>
              <w:rPr>
                <w:rFonts w:ascii="Segoe UI Symbol" w:hAnsi="Segoe UI Symbol" w:cs="Segoe UI Symbol" w:eastAsia="Segoe UI Symbol"/>
                <w:color w:val="14263F"/>
                <w:sz w:val="18"/>
              </w:rPr>
              <w:t>∅</w:t>
            </w:r>
            <w:r>
              <w:rPr>
                <w:rFonts w:ascii="Arial" w:hAnsi="Arial" w:cs="Arial" w:eastAsia="Arial"/>
                <w:color w:val="14263F"/>
                <w:sz w:val="18"/>
              </w:rPr>
              <w:t>.</w:t>
            </w:r>
          </w:p>
        </w:tc>
      </w:tr>
      <w:tr>
        <w:trPr>
          <w:cantSplit/>
        </w:trPr>
        <w:tc>
          <w:tcPr>
            <w:tcW w:type="dxa" w:w="4840"/>
            <w:vAlign w:val="center"/>
            <w:shd w:fill="FFFFFF"/>
          </w:tcPr>
          <w:p>
            <w:pPr>
              <w:spacing w:after="0" w:line="242" w:lineRule="exact"/>
            </w:pPr>
            <w:r>
              <w:rPr>
                <w:rFonts w:ascii="Arial" w:hAnsi="Arial" w:cs="Arial" w:eastAsia="Arial"/>
                <w:color w:val="14263F"/>
                <w:sz w:val="18"/>
              </w:rPr>
              <w:t>ER inválida, entrada no ASCII o anidamiento excesivo</w:t>
            </w:r>
          </w:p>
        </w:tc>
        <w:tc>
          <w:tcPr>
            <w:tcW w:type="dxa" w:w="5480"/>
            <w:vAlign w:val="center"/>
            <w:shd w:fill="FFFFFF"/>
          </w:tcPr>
          <w:p>
            <w:pPr>
              <w:spacing w:after="0" w:line="242" w:lineRule="exact"/>
            </w:pPr>
            <w:r>
              <w:rPr>
                <w:rFonts w:ascii="Arial" w:hAnsi="Arial" w:cs="Arial" w:eastAsia="Arial"/>
                <w:color w:val="14263F"/>
                <w:sz w:val="18"/>
              </w:rPr>
              <w:t>Mensaje de error; código de salida 2.</w:t>
            </w:r>
          </w:p>
        </w:tc>
      </w:tr>
    </w:tbl>
    <w:p>
      <w:pPr>
        <w:spacing w:after="80" w:line="40" w:lineRule="exact" w:before="0"/>
      </w:pPr>
    </w:p>
    <w:p>
      <w:pPr>
        <w:pStyle w:val="Heading2"/>
      </w:pPr>
      <w:r>
        <w:rPr/>
        <w:t>Costo y límites</w:t>
      </w:r>
    </w:p>
    <w:p>
      <w:pPr/>
      <w:r>
        <w:rPr/>
        <w:t>Si n es el número de estados del AFND, un AFD puede llegar a tener hasta 2 elevado a n subconjuntos. La implementación construye solamente los alcanzables y mantiene como máximo 128 clases ASCII. El cierre ε recorre estados y transiciones alcanzables; la simulación del AFD es lineal respecto a la longitud de la cadena, después de preparar el mapa de caracteres.</w:t>
      </w:r>
    </w:p>
    <w:p>
      <w:pPr/>
      <w:r>
        <w:rPr/>
        <w:t>La versión usa únicamente la biblioteca estándar de Python, distingue mayúsculas de minúsculas y no interpreta operadores adicionales como + o ?. Los grupos y alternativas vacíos se rechazan; para el vacío debe escribirse ε. El anidamiento se limita por la recursión disponible y se informa con un error controlado.</w:t>
      </w:r>
    </w:p>
    <w:p>
      <w:pPr>
        <w:pStyle w:val="Heading2"/>
      </w:pPr>
      <w:r>
        <w:rPr/>
        <w:t>Verificación y documentos relacionados</w:t>
      </w:r>
    </w:p>
    <w:p>
      <w:pPr/>
      <w:r>
        <w:rPr/>
        <w:t>La batería terminó con 10 métodos correctos. Incluye 152 evaluaciones dirigidas de 42 ER, 24 ER inválidas, 1,023 combinaciones y 256 comprobaciones sobre complementos ASCII. Los resultados y las capturas se detallan en casos_de_prueba.pdf.</w:t>
      </w:r>
    </w:p>
    <w:p>
      <w:pPr/>
      <w:r>
        <w:rPr>
          <w:color w:val="546174"/>
          <w:sz w:val="18"/>
        </w:rPr>
        <w:t>Las evidencias se obtuvieron en Windows 11 con Python 3.12.10. Los comandos del Makefile corresponden al entorno Linux solicitado, pero no se ejecutaron en Linux durante esta sesión. El repositorio remoto está pendiente de publicación.</w:t>
      </w:r>
    </w:p>
    <w:p>
      <w:pPr>
        <w:pStyle w:val="Heading2"/>
      </w:pPr>
      <w:r>
        <w:rPr/>
        <w:t>Fuentes de esta documentación</w:t>
      </w:r>
    </w:p>
    <w:p>
      <w:pPr/>
      <w:r>
        <w:rPr>
          <w:color w:val="546174"/>
          <w:sz w:val="18"/>
        </w:rPr>
        <w:t>Enunciado proporcionado: ER-AFD, Convertidor de ER a AFD, René Ornélyz, septiembre de 2026. Implementación local: expresiones.py, automatas.py, er_afd.py, er-afd, Makefile y pruebas.py. Evidencia reproducible: doc/evidencias/ejecuciones.json.</w:t>
      </w:r>
    </w:p>
    <w:sectPr w:rsidR="00FC693F" w:rsidRPr="0006063C" w:rsidSect="00034616">
      <w:footerReference w:type="default" r:id="rId9"/>
      <w:pgSz w:w="12240" w:h="15840"/>
      <w:pgMar w:top="1040" w:right="960" w:bottom="960" w:left="960" w:header="360" w:footer="40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fldSimple w:instr="PAGE">
      <w:r>
        <w:t>2</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exact"/>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8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técnico ER AFD</dc:title>
  <dc:subject/>
  <dc:creator>SELVIN KLEBER GIRÓN ALVAREZ</dc:creator>
  <cp:keywords/>
  <dc:description>generated by python-docx</dc:description>
  <cp:lastModifiedBy/>
  <cp:revision>1</cp:revision>
  <dcterms:created xsi:type="dcterms:W3CDTF">2013-12-23T23:15:00Z</dcterms:created>
  <dcterms:modified xsi:type="dcterms:W3CDTF">2013-12-23T23:15:00Z</dcterms:modified>
  <cp:category/>
  <dc:language>es-GT</dc:language>
</cp:coreProperties>
</file>