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0FF25" w14:textId="77777777" w:rsidR="002A3B00" w:rsidRDefault="00000000">
      <w:pPr>
        <w:pStyle w:val="Title"/>
      </w:pPr>
      <w:r>
        <w:t>Innovo Skills – Financial Summary Report</w:t>
      </w:r>
    </w:p>
    <w:p w14:paraId="19F904D6" w14:textId="2CF7C0CE" w:rsidR="002A3B00" w:rsidRDefault="00000000">
      <w:r>
        <w:t>For the Financial Year Ending 31 March 2025</w:t>
      </w:r>
      <w:r w:rsidR="002A49D0">
        <w:br/>
      </w:r>
      <w:r w:rsidR="002A49D0">
        <w:br/>
      </w:r>
      <w:r w:rsidR="002A49D0">
        <w:br/>
      </w:r>
      <w:r w:rsidR="002A49D0" w:rsidRPr="002A49D0">
        <w:rPr>
          <w:b/>
          <w:bCs/>
          <w:color w:val="4F81BD" w:themeColor="accent1"/>
          <w:sz w:val="24"/>
          <w:szCs w:val="24"/>
        </w:rPr>
        <w:t>Chat Link:</w:t>
      </w:r>
      <w:r w:rsidR="002A49D0">
        <w:t>”</w:t>
      </w:r>
      <w:r w:rsidR="002A49D0" w:rsidRPr="002A49D0">
        <w:t xml:space="preserve"> </w:t>
      </w:r>
      <w:r w:rsidR="002A49D0" w:rsidRPr="002A49D0">
        <w:t>https://chatgpt.com/share/684996fd-b654-8002-863f-8611246c267d</w:t>
      </w:r>
      <w:r w:rsidR="002A49D0">
        <w:t>”</w:t>
      </w:r>
      <w:r w:rsidR="002A49D0">
        <w:br/>
      </w:r>
      <w:r w:rsidR="002A49D0">
        <w:br/>
      </w:r>
      <w:r w:rsidR="002A49D0">
        <w:br/>
      </w:r>
      <w:r w:rsidR="002A49D0" w:rsidRPr="002A49D0">
        <w:rPr>
          <w:b/>
          <w:bCs/>
          <w:color w:val="4F81BD" w:themeColor="accent1"/>
          <w:sz w:val="24"/>
          <w:szCs w:val="24"/>
        </w:rPr>
        <w:t>Input:</w:t>
      </w:r>
      <w:r w:rsidR="002A49D0">
        <w:rPr>
          <w:b/>
          <w:bCs/>
          <w:color w:val="4F81BD" w:themeColor="accent1"/>
          <w:sz w:val="24"/>
          <w:szCs w:val="24"/>
        </w:rPr>
        <w:br/>
      </w:r>
      <w:r w:rsidR="002A49D0">
        <w:rPr>
          <w:b/>
          <w:bCs/>
          <w:color w:val="4F81BD" w:themeColor="accent1"/>
          <w:sz w:val="24"/>
          <w:szCs w:val="24"/>
        </w:rPr>
        <w:br/>
      </w:r>
      <w:r w:rsidR="002A49D0" w:rsidRPr="002A49D0">
        <w:t xml:space="preserve">I am working on a project titled "Financial Image Scans" which involves extracting and summarizing insights from financial document images. I need you to analyze the attached image of a Balance Sheet for a fictional company </w:t>
      </w:r>
      <w:proofErr w:type="spellStart"/>
      <w:r w:rsidR="002A49D0" w:rsidRPr="002A49D0">
        <w:t>Innovo</w:t>
      </w:r>
      <w:proofErr w:type="spellEnd"/>
      <w:r w:rsidR="002A49D0" w:rsidRPr="002A49D0">
        <w:t xml:space="preserve"> Skills for the financial year ending 31 March 2025, and generate a report in the following structure: Key Financial Metrics (Net Profit, EPS, ROE, etc.) Income and Expenses Balance Sheet Highlights Credit Quality Strategic and Operational Updates Market Conditions and Outlook Balance sheet image Figures at a glance</w:t>
      </w:r>
    </w:p>
    <w:p w14:paraId="351D6D72" w14:textId="246986F2" w:rsidR="002A3B00" w:rsidRDefault="00000000">
      <w:pPr>
        <w:pStyle w:val="Heading1"/>
      </w:pPr>
      <w:r>
        <w:t>Key Financial Metrics</w:t>
      </w:r>
    </w:p>
    <w:p w14:paraId="44FC767F" w14:textId="77777777" w:rsidR="002A3B00" w:rsidRDefault="00000000">
      <w:r>
        <w:t>Note: Key ratios like Net Profit, EPS, and ROE are typically derived from the income statement, not directly available from the balance sheet.</w:t>
      </w:r>
    </w:p>
    <w:p w14:paraId="245AB5F0" w14:textId="77777777" w:rsidR="002A3B00" w:rsidRDefault="00000000">
      <w:r>
        <w:t>• Debt-to-Equity Ratio:</w:t>
      </w:r>
      <w:r>
        <w:br/>
        <w:t xml:space="preserve">  FY25 = 0.90 (₹1,160 Cr / ₹1,290 Cr) → Indicates a balanced capital structure.</w:t>
      </w:r>
    </w:p>
    <w:p w14:paraId="47027CD2" w14:textId="77777777" w:rsidR="002A3B00" w:rsidRDefault="00000000">
      <w:r>
        <w:t>• Working Capital:</w:t>
      </w:r>
      <w:r>
        <w:br/>
        <w:t xml:space="preserve">  FY25 = ₹450 Cr (₹980 Cr – ₹530 Cr) → Suggests strong liquidity.</w:t>
      </w:r>
    </w:p>
    <w:p w14:paraId="457B6CD0" w14:textId="3A715E5D" w:rsidR="002A3B00" w:rsidRDefault="00000000">
      <w:pPr>
        <w:pStyle w:val="Heading1"/>
      </w:pPr>
      <w:r>
        <w:t xml:space="preserve"> Income and Expenses (Inferred)</w:t>
      </w:r>
    </w:p>
    <w:p w14:paraId="2B0A5050" w14:textId="77777777" w:rsidR="002A3B00" w:rsidRDefault="00000000">
      <w:r>
        <w:t>• Though not directly available, growth in current assets and cash equivalents suggests improved operational efficiency or external funding.</w:t>
      </w:r>
    </w:p>
    <w:p w14:paraId="45B7E45B" w14:textId="77777777" w:rsidR="002A3B00" w:rsidRDefault="00000000">
      <w:r>
        <w:t>• Cash and cash equivalents increased significantly (₹80 Cr → ₹210 Cr), indicating better liquidity or financing inflows.</w:t>
      </w:r>
    </w:p>
    <w:p w14:paraId="3AC041FD" w14:textId="0EE9CD30" w:rsidR="002A3B00" w:rsidRDefault="00000000">
      <w:pPr>
        <w:pStyle w:val="Heading1"/>
      </w:pPr>
      <w:r>
        <w:t>Balance Sheet Highlights</w:t>
      </w:r>
    </w:p>
    <w:p w14:paraId="7CB052F6" w14:textId="77777777" w:rsidR="002A3B00" w:rsidRDefault="00000000">
      <w:r>
        <w:t>• Asset Growth:</w:t>
      </w:r>
      <w:r>
        <w:br/>
        <w:t xml:space="preserve">  Total Assets up by ₹420 Cr (↑ 20.7%) → Reflects business expansion or capital infusion.</w:t>
      </w:r>
    </w:p>
    <w:p w14:paraId="136B8F39" w14:textId="77777777" w:rsidR="002A3B00" w:rsidRDefault="00000000">
      <w:r>
        <w:lastRenderedPageBreak/>
        <w:t>• Capex Growth:</w:t>
      </w:r>
      <w:r>
        <w:br/>
        <w:t xml:space="preserve">  PPE increased from ₹1,310 Cr to ₹1,470 Cr → Signals infrastructure investments.</w:t>
      </w:r>
    </w:p>
    <w:p w14:paraId="206227E5" w14:textId="77777777" w:rsidR="002A3B00" w:rsidRDefault="00000000">
      <w:r>
        <w:t>• Working Capital Strength:</w:t>
      </w:r>
      <w:r>
        <w:br/>
        <w:t xml:space="preserve">  Current assets up 36% YoY, mainly due to:</w:t>
      </w:r>
      <w:r>
        <w:br/>
        <w:t xml:space="preserve">  - ↑ ₹130 Cr in Trade Receivables</w:t>
      </w:r>
      <w:r>
        <w:br/>
        <w:t xml:space="preserve">  - ↑ ₹130 Cr in Cash &amp; Equivalents</w:t>
      </w:r>
    </w:p>
    <w:p w14:paraId="70A139C8" w14:textId="77777777" w:rsidR="002A3B00" w:rsidRDefault="00000000">
      <w:r>
        <w:t>• Equity Changes:</w:t>
      </w:r>
      <w:r>
        <w:br/>
        <w:t xml:space="preserve">  Equity share capital declined from ₹1,140 Cr to ₹510 Cr → Possible buyback or capital restructuring.</w:t>
      </w:r>
    </w:p>
    <w:p w14:paraId="74329355" w14:textId="77777777" w:rsidR="002A3B00" w:rsidRDefault="00000000">
      <w:r>
        <w:t>• Liability Position:</w:t>
      </w:r>
      <w:r>
        <w:br/>
        <w:t xml:space="preserve">  Other current liabilities increased from ₹40 Cr to ₹260 Cr → May reflect short-term financing or operational dues.</w:t>
      </w:r>
    </w:p>
    <w:p w14:paraId="534B1073" w14:textId="59F630B3" w:rsidR="002A3B00" w:rsidRDefault="00000000">
      <w:pPr>
        <w:pStyle w:val="Heading1"/>
      </w:pPr>
      <w:r>
        <w:t>Credit Quality Overview</w:t>
      </w:r>
    </w:p>
    <w:p w14:paraId="01C2ED43" w14:textId="77777777" w:rsidR="002A3B00" w:rsidRDefault="00000000">
      <w:r>
        <w:t>• Non-Current Borrowings: Slight decline to ₹480 Cr (from ₹500 Cr) → Stable long-term debt.</w:t>
      </w:r>
    </w:p>
    <w:p w14:paraId="2E14E2E1" w14:textId="77777777" w:rsidR="002A3B00" w:rsidRDefault="00000000">
      <w:r>
        <w:t>• Current Borrowings: Static at ₹40 Cr → No signs of short-term credit stress.</w:t>
      </w:r>
    </w:p>
    <w:p w14:paraId="7250ACC7" w14:textId="77777777" w:rsidR="002A3B00" w:rsidRDefault="00000000">
      <w:r>
        <w:t>• Increase in Trade Payables and other liabilities → May indicate creditor pressure or deferred obligations.</w:t>
      </w:r>
    </w:p>
    <w:p w14:paraId="1C013360" w14:textId="62F72E85" w:rsidR="002A3B00" w:rsidRDefault="00000000">
      <w:pPr>
        <w:pStyle w:val="Heading1"/>
      </w:pPr>
      <w:r>
        <w:t xml:space="preserve"> Strategic and Operational Insights (Inferred)</w:t>
      </w:r>
    </w:p>
    <w:p w14:paraId="751C9EB2" w14:textId="77777777" w:rsidR="002A3B00" w:rsidRDefault="00000000">
      <w:r>
        <w:t>• Investment in PPE → Indicates capacity building and infrastructure scale-up.</w:t>
      </w:r>
    </w:p>
    <w:p w14:paraId="6601150A" w14:textId="77777777" w:rsidR="002A3B00" w:rsidRDefault="00000000">
      <w:r>
        <w:t>• Liquidity boost via receivables and cash growth.</w:t>
      </w:r>
    </w:p>
    <w:p w14:paraId="5290FC92" w14:textId="77777777" w:rsidR="002A3B00" w:rsidRDefault="00000000">
      <w:r>
        <w:t>• Equity capital restructuring → Possible shift to debt or hybrid funding instruments.</w:t>
      </w:r>
    </w:p>
    <w:p w14:paraId="1F364203" w14:textId="77777777" w:rsidR="002A3B00" w:rsidRDefault="00000000">
      <w:r>
        <w:t>• Rise in liabilities → May support expansion or working capital requirements.</w:t>
      </w:r>
    </w:p>
    <w:p w14:paraId="7F8F1FD0" w14:textId="43A9C4FE" w:rsidR="002A3B00" w:rsidRDefault="00000000">
      <w:pPr>
        <w:pStyle w:val="Heading1"/>
      </w:pPr>
      <w:r>
        <w:t>Market Outlook &amp; Conclusion</w:t>
      </w:r>
    </w:p>
    <w:p w14:paraId="30C46DA4" w14:textId="77777777" w:rsidR="002A3B00" w:rsidRDefault="00000000">
      <w:r>
        <w:t>• Positive Indicators:</w:t>
      </w:r>
      <w:r>
        <w:br/>
        <w:t xml:space="preserve">  - Strong growth in assets and liquidity.</w:t>
      </w:r>
      <w:r>
        <w:br/>
        <w:t xml:space="preserve">  - Solid working capital position.</w:t>
      </w:r>
      <w:r>
        <w:br/>
        <w:t xml:space="preserve">  - Stable debt levels.</w:t>
      </w:r>
    </w:p>
    <w:p w14:paraId="7AAF08D0" w14:textId="77777777" w:rsidR="002A3B00" w:rsidRDefault="00000000">
      <w:r>
        <w:t>• Areas to Monitor:</w:t>
      </w:r>
      <w:r>
        <w:br/>
        <w:t xml:space="preserve">  - Surge in liabilities and drop in equity capital.</w:t>
      </w:r>
      <w:r>
        <w:br/>
        <w:t xml:space="preserve">  - Managing future obligations while sustaining growth.</w:t>
      </w:r>
    </w:p>
    <w:p w14:paraId="7791C227" w14:textId="02F9FDD7" w:rsidR="00242666" w:rsidRDefault="00242666" w:rsidP="00242666">
      <w:pPr>
        <w:pStyle w:val="Heading1"/>
      </w:pPr>
      <w:bookmarkStart w:id="0" w:name="_Hlk200565304"/>
      <w:r>
        <w:t>Balance Sheets:</w:t>
      </w:r>
      <w:bookmarkEnd w:id="0"/>
      <w:r>
        <w:br/>
      </w:r>
      <w:r>
        <w:br/>
      </w:r>
      <w:r>
        <w:rPr>
          <w:noProof/>
        </w:rPr>
        <w:drawing>
          <wp:inline distT="0" distB="0" distL="0" distR="0" wp14:anchorId="4B8BCB97" wp14:editId="0830D780">
            <wp:extent cx="5486400" cy="3291840"/>
            <wp:effectExtent l="0" t="0" r="0" b="3810"/>
            <wp:docPr id="72486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68699" name="Picture 7248686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22A0CBD3" w14:textId="6F98ECF6" w:rsidR="002A49D0" w:rsidRPr="002A49D0" w:rsidRDefault="002A49D0" w:rsidP="002A49D0">
      <w:pPr>
        <w:rPr>
          <w:b/>
          <w:bCs/>
          <w:sz w:val="24"/>
          <w:szCs w:val="24"/>
        </w:rPr>
      </w:pPr>
      <w:r>
        <w:br/>
      </w:r>
      <w:r>
        <w:br/>
      </w:r>
      <w:r>
        <w:br/>
      </w:r>
      <w:r w:rsidRPr="002A49D0">
        <w:rPr>
          <w:b/>
          <w:bCs/>
          <w:color w:val="4F81BD" w:themeColor="accent1"/>
          <w:sz w:val="24"/>
          <w:szCs w:val="24"/>
        </w:rPr>
        <w:t>Figure at Glance</w:t>
      </w:r>
      <w:r>
        <w:rPr>
          <w:b/>
          <w:bCs/>
          <w:color w:val="4F81BD" w:themeColor="accent1"/>
          <w:sz w:val="24"/>
          <w:szCs w:val="24"/>
        </w:rPr>
        <w:t>:</w:t>
      </w:r>
      <w:r>
        <w:rPr>
          <w:b/>
          <w:bCs/>
          <w:color w:val="4F81BD" w:themeColor="accent1"/>
          <w:sz w:val="24"/>
          <w:szCs w:val="24"/>
        </w:rPr>
        <w:br/>
      </w:r>
      <w:r>
        <w:rPr>
          <w:b/>
          <w:bCs/>
          <w:color w:val="4F81BD" w:themeColor="accent1"/>
          <w:sz w:val="24"/>
          <w:szCs w:val="24"/>
        </w:rPr>
        <w:br/>
      </w:r>
      <w:r>
        <w:rPr>
          <w:b/>
          <w:bCs/>
          <w:color w:val="4F81BD" w:themeColor="accent1"/>
          <w:sz w:val="24"/>
          <w:szCs w:val="24"/>
        </w:rPr>
        <w:br/>
      </w:r>
      <w:r>
        <w:rPr>
          <w:b/>
          <w:bCs/>
          <w:noProof/>
          <w:sz w:val="24"/>
          <w:szCs w:val="24"/>
        </w:rPr>
        <w:drawing>
          <wp:inline distT="0" distB="0" distL="0" distR="0" wp14:anchorId="58C77C6C" wp14:editId="09898A81">
            <wp:extent cx="5486400" cy="2263775"/>
            <wp:effectExtent l="0" t="0" r="0" b="3175"/>
            <wp:docPr id="965877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77456" name="Picture 9658774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9D0" w:rsidRPr="002A49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0651275">
    <w:abstractNumId w:val="8"/>
  </w:num>
  <w:num w:numId="2" w16cid:durableId="2031566524">
    <w:abstractNumId w:val="6"/>
  </w:num>
  <w:num w:numId="3" w16cid:durableId="205684093">
    <w:abstractNumId w:val="5"/>
  </w:num>
  <w:num w:numId="4" w16cid:durableId="932320118">
    <w:abstractNumId w:val="4"/>
  </w:num>
  <w:num w:numId="5" w16cid:durableId="1545673924">
    <w:abstractNumId w:val="7"/>
  </w:num>
  <w:num w:numId="6" w16cid:durableId="1158418702">
    <w:abstractNumId w:val="3"/>
  </w:num>
  <w:num w:numId="7" w16cid:durableId="76486625">
    <w:abstractNumId w:val="2"/>
  </w:num>
  <w:num w:numId="8" w16cid:durableId="460614947">
    <w:abstractNumId w:val="1"/>
  </w:num>
  <w:num w:numId="9" w16cid:durableId="162438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666"/>
    <w:rsid w:val="0025408F"/>
    <w:rsid w:val="0029639D"/>
    <w:rsid w:val="002A3B00"/>
    <w:rsid w:val="002A49D0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6777A"/>
  <w14:defaultImageDpi w14:val="300"/>
  <w15:docId w15:val="{4EF955C1-C471-43A6-A229-800B56E3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Key Financial Metrics</vt:lpstr>
      <vt:lpstr>Income and Expenses (Inferred)</vt:lpstr>
      <vt:lpstr>Balance Sheet Highlights</vt:lpstr>
      <vt:lpstr>Credit Quality Overview</vt:lpstr>
      <vt:lpstr>Strategic and Operational Insights (Inferred)</vt:lpstr>
      <vt:lpstr>Market Outlook &amp; Conclusion</vt:lpstr>
      <vt:lpstr>Balance Sheets:  / </vt:lpstr>
    </vt:vector>
  </TitlesOfParts>
  <Manager/>
  <Company/>
  <LinksUpToDate>false</LinksUpToDate>
  <CharactersWithSpaces>2973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HARIHARAN K</cp:lastModifiedBy>
  <cp:revision>2</cp:revision>
  <dcterms:created xsi:type="dcterms:W3CDTF">2013-12-23T23:15:00Z</dcterms:created>
  <dcterms:modified xsi:type="dcterms:W3CDTF">2025-06-11T14:48:00Z</dcterms:modified>
  <cp:category/>
</cp:coreProperties>
</file>