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SWTID-2026-1437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>
      <w:pPr>
        <w:spacing w:after="120"/>
      </w:pPr>
      <w:r>
        <w:rPr>
          <w:b/>
          <w:i w:val="0"/>
        </w:rPr>
        <w:t>Technical Architecture - AI WeatherWise API</w:t>
      </w:r>
    </w:p>
    <w:p>
      <w:pPr>
        <w:spacing w:after="120"/>
        <w:jc w:val="center"/>
      </w:pPr>
      <w:r>
        <w:drawing>
          <wp:inline>
            <wp:extent cx="3017520" cy="172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7269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Users interact with the API through an API client or a front-end that sends REST requests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Postman / Browser, JSON over HTTP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User registration, login, authentication and profile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Node.js, Express.js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Fetching and returning weather information for a city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Node.js, Express.js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Generating AI-based weather insights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Node.js, Gemini AI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Stores user data (NoSQL documents)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MongoDB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Optional hosted database service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MongoDB Atlas (optional)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 file storage required; configuration is kept in environment (.env) files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Provides current weather data for a city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Weather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Provides AI-generated weather insights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Gemini AI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Pre-trained generative AI model used to produce weather insights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Google Gemini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deployment on local system / cloud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Server Configuration: Node.js server with local/remote MongoDB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Server Configuration: any Node.js hosting service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Local, Cloud (optional)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 runtime and Express.js web framework with MongoDB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Node.js, Express.js,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JWT-based authentication, protected routes, input validation, API keys stored in environment variables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JWT, environment variables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Layered design (client, API, database); stateless API allows horizontal scaling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3-tier architecture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Stateless API can run on multiple instances behind a load balancer; database persists data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Node.js,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Non-blocking asynchronous I/O in Node.js; responses can be cached if needed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Node.js (async I/O)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