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AML Transaction &amp; Fraud Analysis – Business Insight Report</w:t>
      </w:r>
    </w:p>
    <w:p w:rsidR="00000000" w:rsidDel="00000000" w:rsidP="00000000" w:rsidRDefault="00000000" w:rsidRPr="00000000" w14:paraId="00000002">
      <w:pPr>
        <w:spacing w:after="10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spacing w:after="10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after="10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06">
      <w:pPr>
        <w:spacing w:after="100" w:line="252.0000000000000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dashboard presents AML transactions, fraud status, transaction activity over time and alert types through KPI cards, a pie (donut) chart, a bar chart, a line chart and a horizontal bar chart, supported by interactive filters. Together, these elements help identify activity that may be suspicious and may require further review.</w:t>
      </w:r>
    </w:p>
    <w:p w:rsidR="00000000" w:rsidDel="00000000" w:rsidP="00000000" w:rsidRDefault="00000000" w:rsidRPr="00000000" w14:paraId="00000007">
      <w:pPr>
        <w:spacing w:after="100" w:line="252.00000000000003"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8">
      <w:pPr>
        <w:spacing w:after="100" w:line="252.00000000000003"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2. Overview of the AML Dataset   </w:t>
      </w:r>
    </w:p>
    <w:p w:rsidR="00000000" w:rsidDel="00000000" w:rsidP="00000000" w:rsidRDefault="00000000" w:rsidRPr="00000000" w14:paraId="0000000A">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dataset contains three related tables: accounts (10,000 accounts), transactions (approximately 1.32 million transfer records) and alerts (records linked to transactions that triggered an AML alert). The purpose of the analysis is to summarise transaction volume, value, classification status and alert patterns so that activity indicating possible risk can be identified and prioritised for review.</w:t>
      </w:r>
    </w:p>
    <w:p w:rsidR="00000000" w:rsidDel="00000000" w:rsidP="00000000" w:rsidRDefault="00000000" w:rsidRPr="00000000" w14:paraId="0000000B">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key fields used in the dashboard are </w:t>
      </w:r>
      <w:r w:rsidDel="00000000" w:rsidR="00000000" w:rsidRPr="00000000">
        <w:rPr>
          <w:rFonts w:ascii="Times New Roman" w:cs="Times New Roman" w:eastAsia="Times New Roman" w:hAnsi="Times New Roman"/>
          <w:b w:val="1"/>
          <w:bCs w:val="1"/>
          <w:sz w:val="21"/>
          <w:szCs w:val="21"/>
          <w:shd w:fill="92d050" w:val="clear"/>
          <w:rtl w:val="0"/>
        </w:rPr>
        <w:t xml:space="preserve">IS_FRAUD</w:t>
      </w:r>
      <w:r w:rsidDel="00000000" w:rsidR="00000000" w:rsidRPr="00000000">
        <w:rPr>
          <w:rFonts w:ascii="Times New Roman" w:cs="Times New Roman" w:eastAsia="Times New Roman" w:hAnsi="Times New Roman"/>
          <w:sz w:val="21"/>
          <w:szCs w:val="21"/>
          <w:rtl w:val="0"/>
        </w:rPr>
        <w:t xml:space="preserve"> (the classification flag for a transaction or account), </w:t>
      </w:r>
      <w:r w:rsidDel="00000000" w:rsidR="00000000" w:rsidRPr="00000000">
        <w:rPr>
          <w:rFonts w:ascii="Times New Roman" w:cs="Times New Roman" w:eastAsia="Times New Roman" w:hAnsi="Times New Roman"/>
          <w:b w:val="1"/>
          <w:bCs w:val="1"/>
          <w:sz w:val="21"/>
          <w:szCs w:val="21"/>
          <w:shd w:fill="92d050" w:val="clear"/>
          <w:rtl w:val="0"/>
        </w:rPr>
        <w:t xml:space="preserve">TIMESTAMP</w:t>
      </w:r>
      <w:r w:rsidDel="00000000" w:rsidR="00000000" w:rsidRPr="00000000">
        <w:rPr>
          <w:rFonts w:ascii="Times New Roman" w:cs="Times New Roman" w:eastAsia="Times New Roman" w:hAnsi="Times New Roman"/>
          <w:sz w:val="21"/>
          <w:szCs w:val="21"/>
          <w:rtl w:val="0"/>
        </w:rPr>
        <w:t xml:space="preserve"> (the time step of each transaction, used for trend analysis), </w:t>
      </w:r>
      <w:r w:rsidDel="00000000" w:rsidR="00000000" w:rsidRPr="00000000">
        <w:rPr>
          <w:rFonts w:ascii="Times New Roman" w:cs="Times New Roman" w:eastAsia="Times New Roman" w:hAnsi="Times New Roman"/>
          <w:b w:val="1"/>
          <w:bCs w:val="1"/>
          <w:sz w:val="21"/>
          <w:szCs w:val="21"/>
          <w:shd w:fill="92d050" w:val="clear"/>
          <w:rtl w:val="0"/>
        </w:rPr>
        <w:t xml:space="preserve">ALERT_ID</w:t>
      </w:r>
      <w:r w:rsidDel="00000000" w:rsidR="00000000" w:rsidRPr="00000000">
        <w:rPr>
          <w:rFonts w:ascii="Times New Roman" w:cs="Times New Roman" w:eastAsia="Times New Roman" w:hAnsi="Times New Roman"/>
          <w:sz w:val="21"/>
          <w:szCs w:val="21"/>
          <w:rtl w:val="0"/>
        </w:rPr>
        <w:t xml:space="preserve"> (the identifier linking transactions to an alert) and </w:t>
      </w:r>
      <w:r w:rsidDel="00000000" w:rsidR="00000000" w:rsidRPr="00000000">
        <w:rPr>
          <w:rFonts w:ascii="Times New Roman" w:cs="Times New Roman" w:eastAsia="Times New Roman" w:hAnsi="Times New Roman"/>
          <w:b w:val="1"/>
          <w:bCs w:val="1"/>
          <w:sz w:val="21"/>
          <w:szCs w:val="21"/>
          <w:shd w:fill="92d050" w:val="clear"/>
          <w:rtl w:val="0"/>
        </w:rPr>
        <w:t xml:space="preserve">ALERT_TYPE</w:t>
      </w:r>
      <w:r w:rsidDel="00000000" w:rsidR="00000000" w:rsidRPr="00000000">
        <w:rPr>
          <w:rFonts w:ascii="Times New Roman" w:cs="Times New Roman" w:eastAsia="Times New Roman" w:hAnsi="Times New Roman"/>
          <w:sz w:val="21"/>
          <w:szCs w:val="21"/>
          <w:rtl w:val="0"/>
        </w:rPr>
        <w:t xml:space="preserve"> (the alert category, such as cycle or fan_in).</w:t>
      </w:r>
    </w:p>
    <w:p w:rsidR="00000000" w:rsidDel="00000000" w:rsidP="00000000" w:rsidRDefault="00000000" w:rsidRPr="00000000" w14:paraId="0000000C">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3. KPI Interpretation</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6470588235297"/>
        <w:gridCol w:w="1941.5479876160994"/>
        <w:gridCol w:w="4940.804953560372"/>
        <w:tblGridChange w:id="0">
          <w:tblGrid>
            <w:gridCol w:w="2477.6470588235297"/>
            <w:gridCol w:w="1941.5479876160994"/>
            <w:gridCol w:w="4940.804953560372"/>
          </w:tblGrid>
        </w:tblGridChange>
      </w:tblGrid>
      <w:tr>
        <w:trPr>
          <w:cantSplit w:val="0"/>
          <w:trHeight w:val="345" w:hRule="atLeast"/>
          <w:tblHeader w:val="0"/>
        </w:trPr>
        <w:tc>
          <w:tcPr>
            <w:tcBorders>
              <w:top w:color="9ca3af" w:space="0" w:sz="5" w:val="single"/>
              <w:left w:color="9ca3af" w:space="0" w:sz="5" w:val="single"/>
              <w:bottom w:color="9ca3af" w:space="0" w:sz="5" w:val="single"/>
              <w:right w:color="9ca3a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KPI</w:t>
            </w:r>
          </w:p>
        </w:tc>
        <w:tc>
          <w:tcPr>
            <w:tcBorders>
              <w:top w:color="9ca3af" w:space="0" w:sz="5" w:val="single"/>
              <w:left w:color="000000" w:space="0" w:sz="0" w:val="nil"/>
              <w:bottom w:color="9ca3af" w:space="0" w:sz="5" w:val="single"/>
              <w:right w:color="9ca3a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Dashboard Value</w:t>
            </w:r>
          </w:p>
        </w:tc>
        <w:tc>
          <w:tcPr>
            <w:tcBorders>
              <w:top w:color="9ca3af" w:space="0" w:sz="5" w:val="single"/>
              <w:left w:color="000000" w:space="0" w:sz="0" w:val="nil"/>
              <w:bottom w:color="9ca3af" w:space="0" w:sz="5" w:val="single"/>
              <w:right w:color="9ca3af"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Interpretation</w:t>
            </w:r>
          </w:p>
        </w:tc>
      </w:tr>
      <w:tr>
        <w:trPr>
          <w:cantSplit w:val="0"/>
          <w:trHeight w:val="795" w:hRule="atLeast"/>
          <w:tblHeader w:val="0"/>
        </w:trPr>
        <w:tc>
          <w:tcPr>
            <w:tcBorders>
              <w:top w:color="000000" w:space="0" w:sz="0" w:val="nil"/>
              <w:left w:color="9ca3af" w:space="0" w:sz="5" w:val="single"/>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Fraudulent Transactions</w:t>
            </w:r>
          </w:p>
        </w:tc>
        <w:tc>
          <w:tcPr>
            <w:tcBorders>
              <w:top w:color="000000" w:space="0" w:sz="0" w:val="nil"/>
              <w:left w:color="000000" w:space="0" w:sz="0" w:val="nil"/>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1,719</w:t>
            </w:r>
          </w:p>
        </w:tc>
        <w:tc>
          <w:tcPr>
            <w:tcBorders>
              <w:top w:color="000000" w:space="0" w:sz="0" w:val="nil"/>
              <w:left w:color="000000" w:space="0" w:sz="0" w:val="nil"/>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Indicates the number of transactions classified as fraudulent (</w:t>
            </w:r>
            <w:r w:rsidDel="00000000" w:rsidR="00000000" w:rsidRPr="00000000">
              <w:rPr>
                <w:rFonts w:ascii="Times New Roman" w:cs="Times New Roman" w:eastAsia="Times New Roman" w:hAnsi="Times New Roman"/>
                <w:b w:val="1"/>
                <w:bCs w:val="1"/>
                <w:sz w:val="19"/>
                <w:szCs w:val="19"/>
                <w:rtl w:val="0"/>
              </w:rPr>
              <w:t xml:space="preserve">IS_FRAUD</w:t>
            </w:r>
            <w:r w:rsidDel="00000000" w:rsidR="00000000" w:rsidRPr="00000000">
              <w:rPr>
                <w:rFonts w:ascii="Times New Roman" w:cs="Times New Roman" w:eastAsia="Times New Roman" w:hAnsi="Times New Roman"/>
                <w:sz w:val="19"/>
                <w:szCs w:val="19"/>
                <w:rtl w:val="0"/>
              </w:rPr>
              <w:t xml:space="preserve"> = True). These records may require investigation and should be reviewed before any conclusion is drawn.</w:t>
            </w:r>
          </w:p>
        </w:tc>
      </w:tr>
      <w:tr>
        <w:trPr>
          <w:cantSplit w:val="0"/>
          <w:trHeight w:val="570" w:hRule="atLeast"/>
          <w:tblHeader w:val="0"/>
        </w:trPr>
        <w:tc>
          <w:tcPr>
            <w:tcBorders>
              <w:top w:color="000000" w:space="0" w:sz="0" w:val="nil"/>
              <w:left w:color="9ca3af" w:space="0" w:sz="5" w:val="single"/>
              <w:bottom w:color="9ca3af" w:space="0" w:sz="5" w:val="single"/>
              <w:right w:color="9ca3af" w:space="0" w:sz="5" w:val="single"/>
            </w:tcBorders>
            <w:shd w:fill="f3f4f6" w:val="clear"/>
            <w:tcMar>
              <w:top w:w="60.0" w:type="dxa"/>
              <w:left w:w="100.0" w:type="dxa"/>
              <w:bottom w:w="6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 Transaction Amount</w:t>
            </w:r>
          </w:p>
        </w:tc>
        <w:tc>
          <w:tcPr>
            <w:tcBorders>
              <w:top w:color="000000" w:space="0" w:sz="0" w:val="nil"/>
              <w:left w:color="000000" w:space="0" w:sz="0" w:val="nil"/>
              <w:bottom w:color="9ca3af" w:space="0" w:sz="5" w:val="single"/>
              <w:right w:color="9ca3af" w:space="0" w:sz="5" w:val="single"/>
            </w:tcBorders>
            <w:shd w:fill="f3f4f6" w:val="clear"/>
            <w:tcMar>
              <w:top w:w="60.0" w:type="dxa"/>
              <w:left w:w="100.0" w:type="dxa"/>
              <w:bottom w:w="6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153.48 billion</w:t>
            </w:r>
          </w:p>
        </w:tc>
        <w:tc>
          <w:tcPr>
            <w:tcBorders>
              <w:top w:color="000000" w:space="0" w:sz="0" w:val="nil"/>
              <w:left w:color="000000" w:space="0" w:sz="0" w:val="nil"/>
              <w:bottom w:color="9ca3af" w:space="0" w:sz="5" w:val="single"/>
              <w:right w:color="9ca3af" w:space="0" w:sz="5" w:val="single"/>
            </w:tcBorders>
            <w:shd w:fill="f3f4f6" w:val="clear"/>
            <w:tcMar>
              <w:top w:w="60.0" w:type="dxa"/>
              <w:left w:w="100.0" w:type="dxa"/>
              <w:bottom w:w="6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Indicates the aggregate value of all transactions in the dataset and the scale of funds that monitoring controls must cover.</w:t>
            </w:r>
          </w:p>
        </w:tc>
      </w:tr>
      <w:tr>
        <w:trPr>
          <w:cantSplit w:val="0"/>
          <w:trHeight w:val="570" w:hRule="atLeast"/>
          <w:tblHeader w:val="0"/>
        </w:trPr>
        <w:tc>
          <w:tcPr>
            <w:tcBorders>
              <w:top w:color="000000" w:space="0" w:sz="0" w:val="nil"/>
              <w:left w:color="9ca3af" w:space="0" w:sz="5" w:val="single"/>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 Transactions</w:t>
            </w:r>
          </w:p>
        </w:tc>
        <w:tc>
          <w:tcPr>
            <w:tcBorders>
              <w:top w:color="000000" w:space="0" w:sz="0" w:val="nil"/>
              <w:left w:color="000000" w:space="0" w:sz="0" w:val="nil"/>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1.32 million</w:t>
            </w:r>
          </w:p>
        </w:tc>
        <w:tc>
          <w:tcPr>
            <w:tcBorders>
              <w:top w:color="000000" w:space="0" w:sz="0" w:val="nil"/>
              <w:left w:color="000000" w:space="0" w:sz="0" w:val="nil"/>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Indicates a high transaction volume, which requires automated and scalable monitoring.</w:t>
            </w:r>
          </w:p>
        </w:tc>
      </w:tr>
      <w:tr>
        <w:trPr>
          <w:cantSplit w:val="0"/>
          <w:trHeight w:val="570" w:hRule="atLeast"/>
          <w:tblHeader w:val="0"/>
        </w:trPr>
        <w:tc>
          <w:tcPr>
            <w:tcBorders>
              <w:top w:color="000000" w:space="0" w:sz="0" w:val="nil"/>
              <w:left w:color="9ca3af" w:space="0" w:sz="5" w:val="single"/>
              <w:bottom w:color="9ca3af" w:space="0" w:sz="5" w:val="single"/>
              <w:right w:color="9ca3af" w:space="0" w:sz="5" w:val="single"/>
            </w:tcBorders>
            <w:shd w:fill="f3f4f6" w:val="clear"/>
            <w:tcMar>
              <w:top w:w="60.0" w:type="dxa"/>
              <w:left w:w="100.0" w:type="dxa"/>
              <w:bottom w:w="6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Total Accounts</w:t>
            </w:r>
          </w:p>
        </w:tc>
        <w:tc>
          <w:tcPr>
            <w:tcBorders>
              <w:top w:color="000000" w:space="0" w:sz="0" w:val="nil"/>
              <w:left w:color="000000" w:space="0" w:sz="0" w:val="nil"/>
              <w:bottom w:color="9ca3af" w:space="0" w:sz="5" w:val="single"/>
              <w:right w:color="9ca3af" w:space="0" w:sz="5" w:val="single"/>
            </w:tcBorders>
            <w:shd w:fill="f3f4f6" w:val="clear"/>
            <w:tcMar>
              <w:top w:w="60.0" w:type="dxa"/>
              <w:left w:w="100.0" w:type="dxa"/>
              <w:bottom w:w="6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10,000</w:t>
            </w:r>
          </w:p>
        </w:tc>
        <w:tc>
          <w:tcPr>
            <w:tcBorders>
              <w:top w:color="000000" w:space="0" w:sz="0" w:val="nil"/>
              <w:left w:color="000000" w:space="0" w:sz="0" w:val="nil"/>
              <w:bottom w:color="9ca3af" w:space="0" w:sz="5" w:val="single"/>
              <w:right w:color="9ca3af" w:space="0" w:sz="5" w:val="single"/>
            </w:tcBorders>
            <w:shd w:fill="f3f4f6" w:val="clear"/>
            <w:tcMar>
              <w:top w:w="60.0" w:type="dxa"/>
              <w:left w:w="100.0" w:type="dxa"/>
              <w:bottom w:w="6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Indicates the number of distinct accounts represented; activity may be reviewed at account level.</w:t>
            </w:r>
          </w:p>
        </w:tc>
      </w:tr>
      <w:tr>
        <w:trPr>
          <w:cantSplit w:val="0"/>
          <w:trHeight w:val="570" w:hRule="atLeast"/>
          <w:tblHeader w:val="0"/>
        </w:trPr>
        <w:tc>
          <w:tcPr>
            <w:tcBorders>
              <w:top w:color="000000" w:space="0" w:sz="0" w:val="nil"/>
              <w:left w:color="9ca3af" w:space="0" w:sz="5" w:val="single"/>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Average Transaction Amount</w:t>
            </w:r>
          </w:p>
        </w:tc>
        <w:tc>
          <w:tcPr>
            <w:tcBorders>
              <w:top w:color="000000" w:space="0" w:sz="0" w:val="nil"/>
              <w:left w:color="000000" w:space="0" w:sz="0" w:val="nil"/>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115.99K</w:t>
            </w:r>
          </w:p>
        </w:tc>
        <w:tc>
          <w:tcPr>
            <w:tcBorders>
              <w:top w:color="000000" w:space="0" w:sz="0" w:val="nil"/>
              <w:left w:color="000000" w:space="0" w:sz="0" w:val="nil"/>
              <w:bottom w:color="9ca3af" w:space="0" w:sz="5" w:val="single"/>
              <w:right w:color="9ca3af" w:space="0" w:sz="5" w:val="single"/>
            </w:tcBorders>
            <w:tcMar>
              <w:top w:w="60.0" w:type="dxa"/>
              <w:left w:w="100.0" w:type="dxa"/>
              <w:bottom w:w="6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Indicates the mean value per transaction; averages may mask outliers and should be reviewed alongside the distribution.</w:t>
            </w:r>
          </w:p>
        </w:tc>
      </w:tr>
    </w:tbl>
    <w:p w:rsidR="00000000" w:rsidDel="00000000" w:rsidP="00000000" w:rsidRDefault="00000000" w:rsidRPr="00000000" w14:paraId="00000023">
      <w:pPr>
        <w:spacing w:after="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4">
      <w:pPr>
        <w:spacing w:after="100" w:line="252.0000000000000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summary, the KPIs indicate a very large transaction base and a high aggregate value, within which a comparatively small number of transactions are classified as fraudulent. These figures help size the monitoring workload but do not, by themselves, establish wrongdoing.</w:t>
      </w:r>
    </w:p>
    <w:p w:rsidR="00000000" w:rsidDel="00000000" w:rsidP="00000000" w:rsidRDefault="00000000" w:rsidRPr="00000000" w14:paraId="00000025">
      <w:pPr>
        <w:spacing w:after="100" w:line="252.00000000000003"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6">
      <w:pPr>
        <w:spacing w:after="100" w:line="252.00000000000003"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4. Fraud Status Analysis</w:t>
      </w:r>
    </w:p>
    <w:p w:rsidR="00000000" w:rsidDel="00000000" w:rsidP="00000000" w:rsidRDefault="00000000" w:rsidRPr="00000000" w14:paraId="00000028">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pie (donut) chart, based on </w:t>
      </w:r>
      <w:r w:rsidDel="00000000" w:rsidR="00000000" w:rsidRPr="00000000">
        <w:rPr>
          <w:rFonts w:ascii="Times New Roman" w:cs="Times New Roman" w:eastAsia="Times New Roman" w:hAnsi="Times New Roman"/>
          <w:b w:val="1"/>
          <w:bCs w:val="1"/>
          <w:sz w:val="21"/>
          <w:szCs w:val="21"/>
          <w:rtl w:val="0"/>
        </w:rPr>
        <w:t xml:space="preserve">IS_FRAUD</w:t>
      </w:r>
      <w:r w:rsidDel="00000000" w:rsidR="00000000" w:rsidRPr="00000000">
        <w:rPr>
          <w:rFonts w:ascii="Times New Roman" w:cs="Times New Roman" w:eastAsia="Times New Roman" w:hAnsi="Times New Roman"/>
          <w:sz w:val="21"/>
          <w:szCs w:val="21"/>
          <w:rtl w:val="0"/>
        </w:rPr>
        <w:t xml:space="preserve">, shows that transactions classified as False represent approximately 99.87% of the total, while those classified as True represent approximately 0.13%. The bar chart of total transaction amount by </w:t>
      </w:r>
      <w:r w:rsidDel="00000000" w:rsidR="00000000" w:rsidRPr="00000000">
        <w:rPr>
          <w:rFonts w:ascii="Times New Roman" w:cs="Times New Roman" w:eastAsia="Times New Roman" w:hAnsi="Times New Roman"/>
          <w:b w:val="1"/>
          <w:bCs w:val="1"/>
          <w:sz w:val="21"/>
          <w:szCs w:val="21"/>
          <w:rtl w:val="0"/>
        </w:rPr>
        <w:t xml:space="preserve">IS_FRAUD</w:t>
      </w:r>
      <w:r w:rsidDel="00000000" w:rsidR="00000000" w:rsidRPr="00000000">
        <w:rPr>
          <w:rFonts w:ascii="Times New Roman" w:cs="Times New Roman" w:eastAsia="Times New Roman" w:hAnsi="Times New Roman"/>
          <w:sz w:val="21"/>
          <w:szCs w:val="21"/>
          <w:rtl w:val="0"/>
        </w:rPr>
        <w:t xml:space="preserve"> shows that the False category accounts for almost the entire transaction value, while the True column is very small by comparison and may be barely visible at this scale.</w:t>
      </w:r>
    </w:p>
    <w:p w:rsidR="00000000" w:rsidDel="00000000" w:rsidP="00000000" w:rsidRDefault="00000000" w:rsidRPr="00000000" w14:paraId="00000029">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Insight:</w:t>
      </w:r>
      <w:r w:rsidDel="00000000" w:rsidR="00000000" w:rsidRPr="00000000">
        <w:rPr>
          <w:rFonts w:ascii="Times New Roman" w:cs="Times New Roman" w:eastAsia="Times New Roman" w:hAnsi="Times New Roman"/>
          <w:sz w:val="21"/>
          <w:szCs w:val="21"/>
          <w:rtl w:val="0"/>
        </w:rPr>
        <w:t xml:space="preserve"> A low percentage does not mean low risk. Even a small share of transactions classified as fraudulent may require investigation, because concentrated or coordinated activity can have a disproportionate compliance impact.</w:t>
      </w:r>
    </w:p>
    <w:p w:rsidR="00000000" w:rsidDel="00000000" w:rsidP="00000000" w:rsidRDefault="00000000" w:rsidRPr="00000000" w14:paraId="0000002A">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5. Transaction Activity Analysis</w:t>
      </w:r>
    </w:p>
    <w:p w:rsidR="00000000" w:rsidDel="00000000" w:rsidP="00000000" w:rsidRDefault="00000000" w:rsidRPr="00000000" w14:paraId="00000031">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line chart of total transactions by </w:t>
      </w:r>
      <w:r w:rsidDel="00000000" w:rsidR="00000000" w:rsidRPr="00000000">
        <w:rPr>
          <w:rFonts w:ascii="Times New Roman" w:cs="Times New Roman" w:eastAsia="Times New Roman" w:hAnsi="Times New Roman"/>
          <w:b w:val="1"/>
          <w:bCs w:val="1"/>
          <w:sz w:val="21"/>
          <w:szCs w:val="21"/>
          <w:rtl w:val="0"/>
        </w:rPr>
        <w:t xml:space="preserve">TIMESTAMP</w:t>
      </w:r>
      <w:r w:rsidDel="00000000" w:rsidR="00000000" w:rsidRPr="00000000">
        <w:rPr>
          <w:rFonts w:ascii="Times New Roman" w:cs="Times New Roman" w:eastAsia="Times New Roman" w:hAnsi="Times New Roman"/>
          <w:sz w:val="21"/>
          <w:szCs w:val="21"/>
          <w:rtl w:val="0"/>
        </w:rPr>
        <w:t xml:space="preserve"> shows an initial increase at the start of the period, after which activity fluctuates around approximately 6,000 to 7,000 transactions per time step. No sustained upward or downward trend is evident after the initial rise.</w:t>
      </w:r>
    </w:p>
    <w:p w:rsidR="00000000" w:rsidDel="00000000" w:rsidP="00000000" w:rsidRDefault="00000000" w:rsidRPr="00000000" w14:paraId="00000032">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Insight:</w:t>
      </w:r>
      <w:r w:rsidDel="00000000" w:rsidR="00000000" w:rsidRPr="00000000">
        <w:rPr>
          <w:rFonts w:ascii="Times New Roman" w:cs="Times New Roman" w:eastAsia="Times New Roman" w:hAnsi="Times New Roman"/>
          <w:sz w:val="21"/>
          <w:szCs w:val="21"/>
          <w:rtl w:val="0"/>
        </w:rPr>
        <w:t xml:space="preserve"> Time-based analysis helps identify unusual patterns. Sudden spikes or drops relative to the typical range may indicate activity that should be reviewed.</w:t>
      </w:r>
    </w:p>
    <w:p w:rsidR="00000000" w:rsidDel="00000000" w:rsidP="00000000" w:rsidRDefault="00000000" w:rsidRPr="00000000" w14:paraId="00000033">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6. Alert Analysis</w:t>
      </w:r>
    </w:p>
    <w:p w:rsidR="00000000" w:rsidDel="00000000" w:rsidP="00000000" w:rsidRDefault="00000000" w:rsidRPr="00000000" w14:paraId="00000036">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horizontal bar chart of </w:t>
      </w:r>
      <w:r w:rsidDel="00000000" w:rsidR="00000000" w:rsidRPr="00000000">
        <w:rPr>
          <w:rFonts w:ascii="Times New Roman" w:cs="Times New Roman" w:eastAsia="Times New Roman" w:hAnsi="Times New Roman"/>
          <w:b w:val="1"/>
          <w:bCs w:val="1"/>
          <w:sz w:val="21"/>
          <w:szCs w:val="21"/>
          <w:rtl w:val="0"/>
        </w:rPr>
        <w:t xml:space="preserve">ALERT_ID</w:t>
      </w:r>
      <w:r w:rsidDel="00000000" w:rsidR="00000000" w:rsidRPr="00000000">
        <w:rPr>
          <w:rFonts w:ascii="Times New Roman" w:cs="Times New Roman" w:eastAsia="Times New Roman" w:hAnsi="Times New Roman"/>
          <w:sz w:val="21"/>
          <w:szCs w:val="21"/>
          <w:rtl w:val="0"/>
        </w:rPr>
        <w:t xml:space="preserve"> counts by </w:t>
      </w:r>
      <w:r w:rsidDel="00000000" w:rsidR="00000000" w:rsidRPr="00000000">
        <w:rPr>
          <w:rFonts w:ascii="Times New Roman" w:cs="Times New Roman" w:eastAsia="Times New Roman" w:hAnsi="Times New Roman"/>
          <w:b w:val="1"/>
          <w:bCs w:val="1"/>
          <w:sz w:val="21"/>
          <w:szCs w:val="21"/>
          <w:rtl w:val="0"/>
        </w:rPr>
        <w:t xml:space="preserve">ALERT_TYPE</w:t>
      </w:r>
      <w:r w:rsidDel="00000000" w:rsidR="00000000" w:rsidRPr="00000000">
        <w:rPr>
          <w:rFonts w:ascii="Times New Roman" w:cs="Times New Roman" w:eastAsia="Times New Roman" w:hAnsi="Times New Roman"/>
          <w:sz w:val="21"/>
          <w:szCs w:val="21"/>
          <w:rtl w:val="0"/>
        </w:rPr>
        <w:t xml:space="preserve"> shows approximately 930 alerts for cycle and approximately 780 for fan_in. A cycle pattern describes funds moving through a sequence of accounts, which may indicate circular movement. A fan-in pattern describes funds from multiple sources converging into a single account, which may indicate aggregation of funds.</w:t>
      </w:r>
    </w:p>
    <w:p w:rsidR="00000000" w:rsidDel="00000000" w:rsidP="00000000" w:rsidRDefault="00000000" w:rsidRPr="00000000" w14:paraId="00000037">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Insight:</w:t>
      </w:r>
      <w:r w:rsidDel="00000000" w:rsidR="00000000" w:rsidRPr="00000000">
        <w:rPr>
          <w:rFonts w:ascii="Times New Roman" w:cs="Times New Roman" w:eastAsia="Times New Roman" w:hAnsi="Times New Roman"/>
          <w:sz w:val="21"/>
          <w:szCs w:val="21"/>
          <w:rtl w:val="0"/>
        </w:rPr>
        <w:t xml:space="preserve"> Both alert types need investigation, and neither is automatic proof of fraud. Note that the chart counts </w:t>
      </w:r>
      <w:r w:rsidDel="00000000" w:rsidR="00000000" w:rsidRPr="00000000">
        <w:rPr>
          <w:rFonts w:ascii="Times New Roman" w:cs="Times New Roman" w:eastAsia="Times New Roman" w:hAnsi="Times New Roman"/>
          <w:b w:val="1"/>
          <w:bCs w:val="1"/>
          <w:sz w:val="21"/>
          <w:szCs w:val="21"/>
          <w:rtl w:val="0"/>
        </w:rPr>
        <w:t xml:space="preserve">ALERT_ID</w:t>
      </w:r>
      <w:r w:rsidDel="00000000" w:rsidR="00000000" w:rsidRPr="00000000">
        <w:rPr>
          <w:rFonts w:ascii="Times New Roman" w:cs="Times New Roman" w:eastAsia="Times New Roman" w:hAnsi="Times New Roman"/>
          <w:sz w:val="21"/>
          <w:szCs w:val="21"/>
          <w:rtl w:val="0"/>
        </w:rPr>
        <w:t xml:space="preserve"> values on transaction-level records, so the figures may reflect transactions linked to alerts rather than distinct alert cases; this should be verified.</w:t>
      </w:r>
    </w:p>
    <w:p w:rsidR="00000000" w:rsidDel="00000000" w:rsidP="00000000" w:rsidRDefault="00000000" w:rsidRPr="00000000" w14:paraId="00000038">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7. Filter-Based Analysis</w:t>
      </w:r>
    </w:p>
    <w:p w:rsidR="00000000" w:rsidDel="00000000" w:rsidP="00000000" w:rsidRDefault="00000000" w:rsidRPr="00000000" w14:paraId="0000003B">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dashboard provides two filters. The </w:t>
      </w:r>
      <w:r w:rsidDel="00000000" w:rsidR="00000000" w:rsidRPr="00000000">
        <w:rPr>
          <w:rFonts w:ascii="Times New Roman" w:cs="Times New Roman" w:eastAsia="Times New Roman" w:hAnsi="Times New Roman"/>
          <w:b w:val="1"/>
          <w:bCs w:val="1"/>
          <w:sz w:val="21"/>
          <w:szCs w:val="21"/>
          <w:rtl w:val="0"/>
        </w:rPr>
        <w:t xml:space="preserve">ALERT_TYPE</w:t>
      </w:r>
      <w:r w:rsidDel="00000000" w:rsidR="00000000" w:rsidRPr="00000000">
        <w:rPr>
          <w:rFonts w:ascii="Times New Roman" w:cs="Times New Roman" w:eastAsia="Times New Roman" w:hAnsi="Times New Roman"/>
          <w:sz w:val="21"/>
          <w:szCs w:val="21"/>
          <w:rtl w:val="0"/>
        </w:rPr>
        <w:t xml:space="preserve"> filter (cycle, fan_in) isolates activity by alert category, and the </w:t>
      </w:r>
      <w:r w:rsidDel="00000000" w:rsidR="00000000" w:rsidRPr="00000000">
        <w:rPr>
          <w:rFonts w:ascii="Times New Roman" w:cs="Times New Roman" w:eastAsia="Times New Roman" w:hAnsi="Times New Roman"/>
          <w:b w:val="1"/>
          <w:bCs w:val="1"/>
          <w:sz w:val="21"/>
          <w:szCs w:val="21"/>
          <w:rtl w:val="0"/>
        </w:rPr>
        <w:t xml:space="preserve">IS_FRAUD</w:t>
      </w:r>
      <w:r w:rsidDel="00000000" w:rsidR="00000000" w:rsidRPr="00000000">
        <w:rPr>
          <w:rFonts w:ascii="Times New Roman" w:cs="Times New Roman" w:eastAsia="Times New Roman" w:hAnsi="Times New Roman"/>
          <w:sz w:val="21"/>
          <w:szCs w:val="21"/>
          <w:rtl w:val="0"/>
        </w:rPr>
        <w:t xml:space="preserve"> filter (True, False) separates transactions by classification status. These filters make the dashboard more useful by allowing reviewers to focus on specific subsets. Results should be checked to confirm that all charts and KPI cards respond correctly to each filter, since inconsistent filtering could lead to misleading interpretation.</w:t>
      </w:r>
    </w:p>
    <w:p w:rsidR="00000000" w:rsidDel="00000000" w:rsidP="00000000" w:rsidRDefault="00000000" w:rsidRPr="00000000" w14:paraId="0000003C">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8. Key AML Insights</w:t>
      </w:r>
    </w:p>
    <w:p w:rsidR="00000000" w:rsidDel="00000000" w:rsidP="00000000" w:rsidRDefault="00000000" w:rsidRPr="00000000" w14:paraId="0000003F">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A low proportion of transactions (approximately 0.13%) is classified as fraudulent, which may still require investigation.</w:t>
      </w:r>
    </w:p>
    <w:p w:rsidR="00000000" w:rsidDel="00000000" w:rsidP="00000000" w:rsidRDefault="00000000" w:rsidRPr="00000000" w14:paraId="00000040">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Large transaction volume (approximately 1.32 million) indicates the need for automated monitoring.</w:t>
      </w:r>
    </w:p>
    <w:p w:rsidR="00000000" w:rsidDel="00000000" w:rsidP="00000000" w:rsidRDefault="00000000" w:rsidRPr="00000000" w14:paraId="00000041">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Significant transaction value (approximately 153.48 billion) indicates substantial exposure should issues be confirmed.</w:t>
      </w:r>
    </w:p>
    <w:p w:rsidR="00000000" w:rsidDel="00000000" w:rsidP="00000000" w:rsidRDefault="00000000" w:rsidRPr="00000000" w14:paraId="00000042">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Cycle alerts appear more frequent than fan_in alerts, which may indicate where review effort should be prioritised.</w:t>
      </w:r>
    </w:p>
    <w:p w:rsidR="00000000" w:rsidDel="00000000" w:rsidP="00000000" w:rsidRDefault="00000000" w:rsidRPr="00000000" w14:paraId="00000043">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Transaction activity fluctuates within a band, so deviations from that band should be reviewed.</w:t>
      </w:r>
    </w:p>
    <w:p w:rsidR="00000000" w:rsidDel="00000000" w:rsidP="00000000" w:rsidRDefault="00000000" w:rsidRPr="00000000" w14:paraId="00000044">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Interactive analysis through filters supports more targeted investigation.</w:t>
      </w:r>
    </w:p>
    <w:p w:rsidR="00000000" w:rsidDel="00000000" w:rsidP="00000000" w:rsidRDefault="00000000" w:rsidRPr="00000000" w14:paraId="00000045">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Further verification of KPI calculations, aggregation settings and filter behaviour is necessary before formal use.</w:t>
      </w:r>
    </w:p>
    <w:p w:rsidR="00000000" w:rsidDel="00000000" w:rsidP="00000000" w:rsidRDefault="00000000" w:rsidRPr="00000000" w14:paraId="00000046">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7">
      <w:pPr>
        <w:spacing w:after="40" w:before="240" w:line="247.2" w:lineRule="auto"/>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8">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9. Recommendations</w:t>
      </w:r>
    </w:p>
    <w:p w:rsidR="00000000" w:rsidDel="00000000" w:rsidP="00000000" w:rsidRDefault="00000000" w:rsidRPr="00000000" w14:paraId="0000004A">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Strengthen fraud monitoring by reviewing rules and thresholds applied to high-volume transaction flows.</w:t>
      </w:r>
    </w:p>
    <w:p w:rsidR="00000000" w:rsidDel="00000000" w:rsidP="00000000" w:rsidRDefault="00000000" w:rsidRPr="00000000" w14:paraId="0000004B">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Investigate high-priority alerts, particularly cycle and fan_in patterns, using documented review procedures.</w:t>
      </w:r>
    </w:p>
    <w:p w:rsidR="00000000" w:rsidDel="00000000" w:rsidP="00000000" w:rsidRDefault="00000000" w:rsidRPr="00000000" w14:paraId="0000004C">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Monitor transaction activity continuously to identify deviations from the typical range.</w:t>
      </w:r>
    </w:p>
    <w:p w:rsidR="00000000" w:rsidDel="00000000" w:rsidP="00000000" w:rsidRDefault="00000000" w:rsidRPr="00000000" w14:paraId="0000004D">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Improve fraud detection models by incorporating feedback from reviewed alerts.</w:t>
      </w:r>
    </w:p>
    <w:p w:rsidR="00000000" w:rsidDel="00000000" w:rsidP="00000000" w:rsidRDefault="00000000" w:rsidRPr="00000000" w14:paraId="0000004E">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Use risk-based investigation to allocate resources to the alerts and accounts that appear highest risk.</w:t>
      </w:r>
    </w:p>
    <w:p w:rsidR="00000000" w:rsidDel="00000000" w:rsidP="00000000" w:rsidRDefault="00000000" w:rsidRPr="00000000" w14:paraId="0000004F">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Improve dashboard accuracy by verifying KPI calculations, aggregations and filter behaviour.</w:t>
      </w:r>
    </w:p>
    <w:p w:rsidR="00000000" w:rsidDel="00000000" w:rsidP="00000000" w:rsidRDefault="00000000" w:rsidRPr="00000000" w14:paraId="00000050">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Maintain proper records of alert reviews, decisions and supporting evidence for audit and regulatory purposes.</w:t>
      </w:r>
    </w:p>
    <w:p w:rsidR="00000000" w:rsidDel="00000000" w:rsidP="00000000" w:rsidRDefault="00000000" w:rsidRPr="00000000" w14:paraId="00000051">
      <w:pPr>
        <w:spacing w:after="40" w:before="240" w:line="247.2" w:lineRule="auto"/>
        <w:ind w:left="108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Review false positives regularly to reduce unnecessary workload and refine alert criteria.</w:t>
      </w:r>
    </w:p>
    <w:p w:rsidR="00000000" w:rsidDel="00000000" w:rsidP="00000000" w:rsidRDefault="00000000" w:rsidRPr="00000000" w14:paraId="00000052">
      <w:pPr>
        <w:spacing w:after="40" w:before="240" w:line="247.2" w:lineRule="auto"/>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3">
      <w:pPr>
        <w:spacing w:after="40" w:before="240" w:line="247.2" w:lineRule="auto"/>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10. Conclusion</w:t>
      </w:r>
    </w:p>
    <w:p w:rsidR="00000000" w:rsidDel="00000000" w:rsidP="00000000" w:rsidRDefault="00000000" w:rsidRPr="00000000" w14:paraId="00000055">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dashboard indicates a large and valuable transaction base in which a small proportion of transactions are classified as fraudulent. Alert activity is split between cycle and fan_in patterns, with cycle alerts appearing more frequent, and transaction activity fluctuates around a relatively stable range after an initial increase.</w:t>
      </w:r>
    </w:p>
    <w:p w:rsidR="00000000" w:rsidDel="00000000" w:rsidP="00000000" w:rsidRDefault="00000000" w:rsidRPr="00000000" w14:paraId="00000056">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KPI cards and charts help prioritise review effort by showing scale, classification status, activity over time and alert types, while the filters allow more focused analysis. All values are based on the dashboard as supplied, and the underlying calculations and aggregation settings should be verified before the figures are used for formal reporting.</w:t>
      </w:r>
    </w:p>
    <w:p w:rsidR="00000000" w:rsidDel="00000000" w:rsidP="00000000" w:rsidRDefault="00000000" w:rsidRPr="00000000" w14:paraId="00000057">
      <w:pPr>
        <w:pBdr>
          <w:top w:color="auto" w:space="0" w:sz="0" w:val="none"/>
          <w:left w:color="auto" w:space="0" w:sz="0" w:val="none"/>
          <w:bottom w:color="2e75b6" w:space="2" w:sz="5" w:val="single"/>
          <w:right w:color="auto" w:space="0" w:sz="0" w:val="none"/>
        </w:pBdr>
        <w:spacing w:after="80" w:before="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1"/>
          <w:szCs w:val="21"/>
          <w:rtl w:val="0"/>
        </w:rPr>
        <w:t xml:space="preserve">Dashboard alerts are indicators for investigation, not conclusive proof of money laundering or fraud.</w:t>
      </w:r>
      <w:r w:rsidDel="00000000" w:rsidR="00000000" w:rsidRPr="00000000">
        <w:rPr>
          <w:rFonts w:ascii="Times New Roman" w:cs="Times New Roman" w:eastAsia="Times New Roman" w:hAnsi="Times New Roman"/>
          <w:sz w:val="21"/>
          <w:szCs w:val="21"/>
          <w:rtl w:val="0"/>
        </w:rPr>
        <w:t xml:space="preserve"> Transactions must be reviewed in line with institutional procedures before any conclusion is reached.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