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29 September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  <w:rtl w:val="0"/>
              </w:rPr>
              <w:t>SWTID-2026-7010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  <w:rtl w:val="0"/>
              </w:rPr>
              <w:t>IMPLEMENT CLIENT SCRIPT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hyperlink" TargetMode="External" Target="https://c4model.com/"/><Relationship Id="rId11" Type="http://schemas.openxmlformats.org/officeDocument/2006/relationships/hyperlink" TargetMode="External" Target="https://developer.ibm.com/patterns/online-order-processing-system-during-pandemic/"/><Relationship Id="rId12" Type="http://schemas.openxmlformats.org/officeDocument/2006/relationships/hyperlink" TargetMode="External" Target="https://www.ibm.com/cloud/architecture"/><Relationship Id="rId13" Type="http://schemas.openxmlformats.org/officeDocument/2006/relationships/hyperlink" TargetMode="External" Target="https://aws.amazon.com/architecture"/><Relationship Id="rId14" Type="http://schemas.openxmlformats.org/officeDocument/2006/relationships/hyperlink" TargetMode="External" Target="https://medium.com/the-internal-startup/how-to-draw-useful-technical-architecture-diagrams-2d20c9fda90d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Mode="External" Target="https://developer.ibm.com/patterns/ai-powered-backend-system-for-order-processing-during-pandemics/"/><Relationship Id="rId8" Type="http://schemas.openxmlformats.org/officeDocument/2006/relationships/image" Target="media/image2.png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</cp:coreProperties>
</file>