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B8BBD" w14:textId="77777777" w:rsidR="0033761C" w:rsidRDefault="0033761C">
      <w:pPr>
        <w:spacing w:after="800"/>
      </w:pPr>
    </w:p>
    <w:p w14:paraId="28BCB611" w14:textId="77777777" w:rsidR="0033761C" w:rsidRPr="000355AA" w:rsidRDefault="00000000">
      <w:pPr>
        <w:spacing w:after="400"/>
        <w:jc w:val="center"/>
        <w:rPr>
          <w:sz w:val="28"/>
          <w:szCs w:val="28"/>
        </w:rPr>
      </w:pPr>
      <w:r w:rsidRPr="000355AA">
        <w:rPr>
          <w:b/>
          <w:bCs/>
          <w:sz w:val="48"/>
          <w:szCs w:val="48"/>
        </w:rPr>
        <w:t>CORPORATE POLICY REVIEW REPORT</w:t>
      </w:r>
    </w:p>
    <w:p w14:paraId="6AA16CEF" w14:textId="77777777" w:rsidR="0033761C" w:rsidRDefault="00000000">
      <w:pPr>
        <w:spacing w:after="800"/>
        <w:jc w:val="center"/>
      </w:pPr>
      <w:r>
        <w:rPr>
          <w:b/>
          <w:bCs/>
          <w:i/>
          <w:iCs/>
          <w:sz w:val="28"/>
          <w:szCs w:val="28"/>
        </w:rPr>
        <w:t>Banking Customer Protection Policy — ICICI Bank Limited</w:t>
      </w:r>
    </w:p>
    <w:p w14:paraId="4DDD06F5" w14:textId="77777777" w:rsidR="0033761C" w:rsidRDefault="0033761C">
      <w:pPr>
        <w:spacing w:after="600"/>
      </w:pPr>
    </w:p>
    <w:p w14:paraId="3360C1B1" w14:textId="77777777" w:rsidR="0033761C" w:rsidRDefault="00000000">
      <w:pPr>
        <w:spacing w:after="200"/>
        <w:jc w:val="center"/>
      </w:pPr>
      <w:r>
        <w:rPr>
          <w:b/>
          <w:bCs/>
          <w:sz w:val="28"/>
          <w:szCs w:val="28"/>
        </w:rPr>
        <w:t xml:space="preserve">Student Name: </w:t>
      </w:r>
      <w:r>
        <w:rPr>
          <w:sz w:val="28"/>
          <w:szCs w:val="28"/>
        </w:rPr>
        <w:t>PAVITHRAN D</w:t>
      </w:r>
    </w:p>
    <w:p w14:paraId="21F3713A" w14:textId="77777777" w:rsidR="0033761C" w:rsidRDefault="00000000">
      <w:pPr>
        <w:spacing w:after="200"/>
        <w:jc w:val="center"/>
      </w:pPr>
      <w:r>
        <w:rPr>
          <w:b/>
          <w:bCs/>
          <w:sz w:val="28"/>
          <w:szCs w:val="28"/>
        </w:rPr>
        <w:t xml:space="preserve">Register Number: </w:t>
      </w:r>
      <w:r>
        <w:rPr>
          <w:sz w:val="28"/>
          <w:szCs w:val="28"/>
        </w:rPr>
        <w:t>5272510215</w:t>
      </w:r>
    </w:p>
    <w:p w14:paraId="134B9451" w14:textId="1BC886BE" w:rsidR="0033761C" w:rsidRDefault="00000000">
      <w:pPr>
        <w:spacing w:after="200"/>
        <w:jc w:val="center"/>
      </w:pPr>
      <w:r>
        <w:rPr>
          <w:b/>
          <w:bCs/>
          <w:sz w:val="28"/>
          <w:szCs w:val="28"/>
        </w:rPr>
        <w:t xml:space="preserve">Course: </w:t>
      </w:r>
      <w:r>
        <w:rPr>
          <w:sz w:val="28"/>
          <w:szCs w:val="28"/>
        </w:rPr>
        <w:t>B.</w:t>
      </w:r>
      <w:r w:rsidR="000355AA">
        <w:rPr>
          <w:sz w:val="28"/>
          <w:szCs w:val="28"/>
        </w:rPr>
        <w:t xml:space="preserve"> </w:t>
      </w:r>
      <w:r>
        <w:rPr>
          <w:sz w:val="28"/>
          <w:szCs w:val="28"/>
        </w:rPr>
        <w:t>Com (FinTech with AI)</w:t>
      </w:r>
    </w:p>
    <w:p w14:paraId="55859D86" w14:textId="77777777" w:rsidR="0033761C" w:rsidRDefault="00000000">
      <w:pPr>
        <w:spacing w:after="200"/>
        <w:jc w:val="center"/>
      </w:pPr>
      <w:r>
        <w:rPr>
          <w:b/>
          <w:bCs/>
          <w:sz w:val="28"/>
          <w:szCs w:val="28"/>
        </w:rPr>
        <w:t xml:space="preserve">Activity Title: </w:t>
      </w:r>
      <w:r>
        <w:rPr>
          <w:sz w:val="28"/>
          <w:szCs w:val="28"/>
        </w:rPr>
        <w:t>Corporate Policy Review Report</w:t>
      </w:r>
    </w:p>
    <w:p w14:paraId="01F8FD11" w14:textId="77777777" w:rsidR="0033761C" w:rsidRDefault="00000000">
      <w:pPr>
        <w:spacing w:after="200"/>
        <w:jc w:val="center"/>
      </w:pPr>
      <w:r>
        <w:rPr>
          <w:b/>
          <w:bCs/>
          <w:sz w:val="28"/>
          <w:szCs w:val="28"/>
        </w:rPr>
        <w:t xml:space="preserve">Organization Reviewed: </w:t>
      </w:r>
      <w:r>
        <w:rPr>
          <w:sz w:val="28"/>
          <w:szCs w:val="28"/>
        </w:rPr>
        <w:t>ICICI Bank Limited</w:t>
      </w:r>
    </w:p>
    <w:p w14:paraId="4811316B" w14:textId="77777777" w:rsidR="0033761C" w:rsidRDefault="00000000">
      <w:pPr>
        <w:spacing w:after="200"/>
        <w:jc w:val="center"/>
      </w:pPr>
      <w:r>
        <w:rPr>
          <w:b/>
          <w:bCs/>
          <w:sz w:val="28"/>
          <w:szCs w:val="28"/>
        </w:rPr>
        <w:t xml:space="preserve">Policy Name: </w:t>
      </w:r>
      <w:r>
        <w:rPr>
          <w:sz w:val="28"/>
          <w:szCs w:val="28"/>
        </w:rPr>
        <w:t>Banking Customer Protection Policy</w:t>
      </w:r>
    </w:p>
    <w:p w14:paraId="56A1B136" w14:textId="77777777" w:rsidR="0033761C" w:rsidRDefault="00000000">
      <w:r>
        <w:br w:type="page"/>
      </w:r>
    </w:p>
    <w:p w14:paraId="14183F35" w14:textId="77777777" w:rsidR="0033761C" w:rsidRDefault="00000000">
      <w:pPr>
        <w:spacing w:before="300" w:after="150"/>
      </w:pPr>
      <w:r>
        <w:rPr>
          <w:b/>
          <w:bCs/>
          <w:sz w:val="28"/>
          <w:szCs w:val="28"/>
        </w:rPr>
        <w:lastRenderedPageBreak/>
        <w:t>1. Introduction</w:t>
      </w:r>
    </w:p>
    <w:p w14:paraId="013D9EE3" w14:textId="77777777" w:rsidR="0033761C" w:rsidRDefault="00000000">
      <w:pPr>
        <w:spacing w:after="200" w:line="300" w:lineRule="auto"/>
        <w:jc w:val="both"/>
      </w:pPr>
      <w:r>
        <w:rPr>
          <w:sz w:val="24"/>
          <w:szCs w:val="24"/>
        </w:rPr>
        <w:t>ICICI Bank Limited is one of India's largest private sector banks, offering a wide range of retail and corporate banking services including savings accounts, loans, credit and debit cards, and digital banking platforms. Because banking involves handling customers' money and sensitive financial information every day, the trust customers place in the bank depends heavily on how fairly and transparently they are treated, especially when something goes wrong, such as an unauthorised transaction or a service failure.</w:t>
      </w:r>
    </w:p>
    <w:p w14:paraId="34051AA5" w14:textId="77777777" w:rsidR="0033761C" w:rsidRDefault="00000000">
      <w:pPr>
        <w:spacing w:after="200" w:line="300" w:lineRule="auto"/>
        <w:jc w:val="both"/>
      </w:pPr>
      <w:r>
        <w:rPr>
          <w:sz w:val="24"/>
          <w:szCs w:val="24"/>
        </w:rPr>
        <w:t>The policy selected for this review is the Customer Protection Policy of ICICI Bank, which covers the bank's Customer Rights Policy, its Code of Commitment to Customers, and its framework for limiting customer liability in cases of unauthorised electronic banking transactions. These policies are framed largely in line with guidelines issued by the Reserve Bank of India (RBI) for all commercial banks operating in the country.</w:t>
      </w:r>
    </w:p>
    <w:p w14:paraId="42DBFDEA" w14:textId="77777777" w:rsidR="0033761C" w:rsidRDefault="00000000">
      <w:pPr>
        <w:spacing w:after="200" w:line="300" w:lineRule="auto"/>
        <w:jc w:val="both"/>
      </w:pPr>
      <w:r>
        <w:rPr>
          <w:sz w:val="24"/>
          <w:szCs w:val="24"/>
        </w:rPr>
        <w:t>The purpose of this review is to understand how ICICI Bank protects the rights and interests of its customers, examine the grievance redressal and compensation mechanisms available to them, and evaluate how effectively the policy supports transparency and trust in banking relationships.</w:t>
      </w:r>
    </w:p>
    <w:p w14:paraId="0CA8D46A" w14:textId="77777777" w:rsidR="0033761C" w:rsidRDefault="00000000">
      <w:pPr>
        <w:spacing w:before="300" w:after="150"/>
      </w:pPr>
      <w:r>
        <w:rPr>
          <w:b/>
          <w:bCs/>
          <w:sz w:val="28"/>
          <w:szCs w:val="28"/>
        </w:rPr>
        <w:t>2. Policy Overview</w:t>
      </w:r>
    </w:p>
    <w:p w14:paraId="43E98C92" w14:textId="77777777" w:rsidR="0033761C" w:rsidRDefault="00000000">
      <w:pPr>
        <w:spacing w:after="200" w:line="300" w:lineRule="auto"/>
        <w:jc w:val="both"/>
      </w:pPr>
      <w:r>
        <w:rPr>
          <w:sz w:val="24"/>
          <w:szCs w:val="24"/>
        </w:rPr>
        <w:t>The Customer Protection Policy of ICICI Bank sets out the standards the bank commits to while dealing with customers, along with the rights customers hold and the process for resolving complaints. It draws heavily on the RBI's Charter of Customer Rights and the RBI circular on customer liability in unauthorised electronic banking transactions, both of which apply to all banks operating in India, including ICICI Bank.</w:t>
      </w:r>
    </w:p>
    <w:p w14:paraId="71C2A15E" w14:textId="77777777" w:rsidR="0033761C" w:rsidRDefault="00000000">
      <w:pPr>
        <w:spacing w:after="200" w:line="300" w:lineRule="auto"/>
        <w:jc w:val="both"/>
      </w:pPr>
      <w:r>
        <w:rPr>
          <w:sz w:val="24"/>
          <w:szCs w:val="24"/>
        </w:rPr>
        <w:t>The scope of the policy covers all retail and individual customers of the bank who use its products and services, including savings and current accounts, debit and credit cards, internet banking, mobile banking and other electronic banking channels. It also extends to grievances arising from products sold by the bank on behalf of third parties, such as insurance or mutual fund products distributed through its branches.</w:t>
      </w:r>
    </w:p>
    <w:p w14:paraId="52B5754E" w14:textId="77777777" w:rsidR="0033761C" w:rsidRDefault="00000000">
      <w:pPr>
        <w:spacing w:after="200" w:line="300" w:lineRule="auto"/>
        <w:jc w:val="both"/>
      </w:pPr>
      <w:r>
        <w:rPr>
          <w:sz w:val="24"/>
          <w:szCs w:val="24"/>
        </w:rPr>
        <w:t>Stakeholders covered under this policy are primarily individual and retail customers of the bank, though the underlying principles also guide how the bank deals with small business and corporate customers. The key objectives of the policy are to ensure fair treatment of customers, protect them from unfair liability in cases of fraud or system failure, and provide a clear, time-bound process through which complaints can be raised and escalated if unresolved.</w:t>
      </w:r>
    </w:p>
    <w:p w14:paraId="16620961" w14:textId="77777777" w:rsidR="0033761C" w:rsidRDefault="00000000">
      <w:pPr>
        <w:spacing w:before="300" w:after="150"/>
      </w:pPr>
      <w:r>
        <w:rPr>
          <w:b/>
          <w:bCs/>
          <w:sz w:val="28"/>
          <w:szCs w:val="28"/>
        </w:rPr>
        <w:t>3. Key Provisions of the Policy</w:t>
      </w:r>
    </w:p>
    <w:p w14:paraId="4A0E921F" w14:textId="77777777" w:rsidR="0033761C" w:rsidRDefault="00000000">
      <w:pPr>
        <w:spacing w:after="200" w:line="300" w:lineRule="auto"/>
        <w:jc w:val="both"/>
      </w:pPr>
      <w:r>
        <w:rPr>
          <w:sz w:val="24"/>
          <w:szCs w:val="24"/>
        </w:rPr>
        <w:lastRenderedPageBreak/>
        <w:t>The Customer Protection Policy of ICICI Bank addresses several important areas, explained below.</w:t>
      </w:r>
    </w:p>
    <w:p w14:paraId="2C089ED5" w14:textId="77777777" w:rsidR="0033761C" w:rsidRDefault="00000000">
      <w:pPr>
        <w:spacing w:before="200" w:after="100"/>
      </w:pPr>
      <w:r>
        <w:rPr>
          <w:b/>
          <w:bCs/>
          <w:i/>
          <w:iCs/>
          <w:sz w:val="28"/>
          <w:szCs w:val="28"/>
        </w:rPr>
        <w:t>Customer Rights</w:t>
      </w:r>
    </w:p>
    <w:p w14:paraId="61C2169C" w14:textId="77777777" w:rsidR="0033761C" w:rsidRDefault="00000000">
      <w:pPr>
        <w:spacing w:after="200" w:line="300" w:lineRule="auto"/>
        <w:jc w:val="both"/>
      </w:pPr>
      <w:r>
        <w:rPr>
          <w:sz w:val="24"/>
          <w:szCs w:val="24"/>
        </w:rPr>
        <w:t xml:space="preserve">In line with the RBI's Charter of Customer Rights, the policy recognises five basic rights of bank customers: the right to fair treatment, the right to transparency and honest dealing, the right to suitability of products offered, the right to privacy, and the right to grievance redress and compensation. These rights apply throughout the customer's relationship with the </w:t>
      </w:r>
      <w:proofErr w:type="gramStart"/>
      <w:r>
        <w:rPr>
          <w:sz w:val="24"/>
          <w:szCs w:val="24"/>
        </w:rPr>
        <w:t>bank,</w:t>
      </w:r>
      <w:proofErr w:type="gramEnd"/>
      <w:r>
        <w:rPr>
          <w:sz w:val="24"/>
          <w:szCs w:val="24"/>
        </w:rPr>
        <w:t xml:space="preserve"> from the time a product is offered to after it has been used.</w:t>
      </w:r>
    </w:p>
    <w:p w14:paraId="6DEA5894" w14:textId="77777777" w:rsidR="0033761C" w:rsidRDefault="00000000">
      <w:pPr>
        <w:spacing w:before="200" w:after="100"/>
      </w:pPr>
      <w:r>
        <w:rPr>
          <w:b/>
          <w:bCs/>
          <w:i/>
          <w:iCs/>
          <w:sz w:val="28"/>
          <w:szCs w:val="28"/>
        </w:rPr>
        <w:t>Disclosure, Transparency and Grievance Redressal</w:t>
      </w:r>
    </w:p>
    <w:p w14:paraId="525513E9" w14:textId="77777777" w:rsidR="0033761C" w:rsidRDefault="00000000">
      <w:pPr>
        <w:spacing w:after="200" w:line="300" w:lineRule="auto"/>
        <w:jc w:val="both"/>
      </w:pPr>
      <w:r>
        <w:rPr>
          <w:sz w:val="24"/>
          <w:szCs w:val="24"/>
        </w:rPr>
        <w:t>The bank commits to acknowledging complaints, including those filed electronically, within three working days and working to resolve them within thirty days. Customers who are not satisfied with the resolution can escalate the matter internally to a Nodal Officer or the bank's Internal Ombudsman, and if still unsatisfied, approach the Banking Ombudsman appointed by the RBI, generally within one year of the incident.</w:t>
      </w:r>
    </w:p>
    <w:p w14:paraId="24E9AC16" w14:textId="77777777" w:rsidR="0033761C" w:rsidRDefault="00000000">
      <w:pPr>
        <w:spacing w:before="200" w:after="100"/>
      </w:pPr>
      <w:r>
        <w:rPr>
          <w:b/>
          <w:bCs/>
          <w:i/>
          <w:iCs/>
          <w:sz w:val="28"/>
          <w:szCs w:val="28"/>
        </w:rPr>
        <w:t>Unauthorised Transactions and Reporting</w:t>
      </w:r>
    </w:p>
    <w:p w14:paraId="337B84AF" w14:textId="77777777" w:rsidR="0033761C" w:rsidRDefault="00000000">
      <w:pPr>
        <w:spacing w:after="200" w:line="300" w:lineRule="auto"/>
        <w:jc w:val="both"/>
      </w:pPr>
      <w:r>
        <w:rPr>
          <w:sz w:val="24"/>
          <w:szCs w:val="24"/>
        </w:rPr>
        <w:t>The policy defines unauthorised electronic banking transactions as transactions carried out without the customer's knowledge or consent, such as those arising from phishing, card skimming or SIM cloning. Customers are required to notify the bank promptly through the helpline, mobile banking app, net banking, or branch once they notice such a transaction, since the timing of reporting directly affects how much liability the customer bears.</w:t>
      </w:r>
    </w:p>
    <w:p w14:paraId="249E0C5C" w14:textId="77777777" w:rsidR="0033761C" w:rsidRDefault="00000000">
      <w:pPr>
        <w:spacing w:before="200" w:after="100"/>
      </w:pPr>
      <w:r>
        <w:rPr>
          <w:b/>
          <w:bCs/>
          <w:i/>
          <w:iCs/>
          <w:sz w:val="28"/>
          <w:szCs w:val="28"/>
        </w:rPr>
        <w:t>Limiting Customer Liability</w:t>
      </w:r>
    </w:p>
    <w:p w14:paraId="5E4CF6A5" w14:textId="77777777" w:rsidR="0033761C" w:rsidRDefault="00000000">
      <w:pPr>
        <w:spacing w:after="200" w:line="300" w:lineRule="auto"/>
        <w:jc w:val="both"/>
      </w:pPr>
      <w:r>
        <w:rPr>
          <w:sz w:val="24"/>
          <w:szCs w:val="24"/>
        </w:rPr>
        <w:t>Following the RBI framework, the policy sets out three broad liability categories. Under zero liability, the customer bears no loss where the fraud results from a deficiency at the bank's end, or from a third-party breach reported within three working days. Under limited liability, the customer bears a capped loss depending on how quickly the transaction is reported, generally between four and seven working days. Where the delay in reporting exceeds seven working days, liability is determined based on the bank's Board-approved policy, which can result in the customer bearing a larger share of the loss.</w:t>
      </w:r>
    </w:p>
    <w:p w14:paraId="499EEDE2" w14:textId="77777777" w:rsidR="0033761C" w:rsidRDefault="00000000">
      <w:pPr>
        <w:spacing w:before="200" w:after="100"/>
      </w:pPr>
      <w:r>
        <w:rPr>
          <w:b/>
          <w:bCs/>
          <w:i/>
          <w:iCs/>
          <w:sz w:val="28"/>
          <w:szCs w:val="28"/>
        </w:rPr>
        <w:t>Compensation and Reversal Timelines</w:t>
      </w:r>
    </w:p>
    <w:p w14:paraId="7118DE0D" w14:textId="77777777" w:rsidR="0033761C" w:rsidRDefault="00000000">
      <w:pPr>
        <w:spacing w:after="200" w:line="300" w:lineRule="auto"/>
        <w:jc w:val="both"/>
      </w:pPr>
      <w:r>
        <w:rPr>
          <w:sz w:val="24"/>
          <w:szCs w:val="24"/>
        </w:rPr>
        <w:t>Where the customer is entitled to zero or limited liability, the policy commits the bank to reversing the disputed amount to the customer's account within a defined timeline, typically within ten working days of the complaint being reported, subject to the outcome of the bank's investigation.</w:t>
      </w:r>
    </w:p>
    <w:p w14:paraId="620B8897" w14:textId="77777777" w:rsidR="0033761C" w:rsidRDefault="00000000">
      <w:pPr>
        <w:spacing w:before="300" w:after="150"/>
      </w:pPr>
      <w:r>
        <w:rPr>
          <w:b/>
          <w:bCs/>
          <w:sz w:val="28"/>
          <w:szCs w:val="28"/>
        </w:rPr>
        <w:lastRenderedPageBreak/>
        <w:t>4. Compliance and Governance Analysis</w:t>
      </w:r>
    </w:p>
    <w:p w14:paraId="6F83EA09" w14:textId="77777777" w:rsidR="0033761C" w:rsidRDefault="00000000">
      <w:pPr>
        <w:spacing w:after="200" w:line="300" w:lineRule="auto"/>
        <w:jc w:val="both"/>
      </w:pPr>
      <w:r>
        <w:rPr>
          <w:sz w:val="24"/>
          <w:szCs w:val="24"/>
        </w:rPr>
        <w:t>The ICICI Bank Customer Protection Policy operates within a regulatory framework set primarily by the Reserve Bank of India. Key instruments include the RBI's Master Circular on Customer Service in Banks, the Charter of Customer Rights, and the RBI's specific guidelines on limiting customer liability in unauthorised electronic banking transactions. The Banking Ombudsman Scheme, now consolidated under the RBI Integrated Ombudsman Scheme, provides the statutory grievance escalation route for customers.</w:t>
      </w:r>
    </w:p>
    <w:p w14:paraId="32B64BAA" w14:textId="77777777" w:rsidR="0033761C" w:rsidRDefault="00000000">
      <w:pPr>
        <w:spacing w:after="200" w:line="300" w:lineRule="auto"/>
        <w:jc w:val="both"/>
      </w:pPr>
      <w:r>
        <w:rPr>
          <w:sz w:val="24"/>
          <w:szCs w:val="24"/>
        </w:rPr>
        <w:t>The policy supports legal and regulatory compliance by adopting RBI's prescribed liability categories and timelines rather than creating its own separate standard, which ensures customers of ICICI Bank receive protection consistent with customers of other Indian banks. The bank's published complaint acknowledgement and resolution timelines further reflect commitments expected under the Banking Codes and Standards Board of India (BCSBI) framework, which many Indian banks, including ICICI Bank, have historically subscribed to.</w:t>
      </w:r>
    </w:p>
    <w:p w14:paraId="16817DEB" w14:textId="77777777" w:rsidR="0033761C" w:rsidRDefault="00000000">
      <w:pPr>
        <w:spacing w:after="200" w:line="300" w:lineRule="auto"/>
        <w:jc w:val="both"/>
      </w:pPr>
      <w:r>
        <w:rPr>
          <w:sz w:val="24"/>
          <w:szCs w:val="24"/>
        </w:rPr>
        <w:t>From a governance point of view, ICICI Bank has appointed a Chief Customer Service Officer to act as an Internal Ombudsman, independent of the bank's business functions, as required by the RBI for large private banks. Complaints and unauthorised transaction cases are also placed before the bank's Customer Service Committee and reviewed periodically, creating a governance loop between frontline complaint handling and senior oversight.</w:t>
      </w:r>
    </w:p>
    <w:p w14:paraId="00C86CF4" w14:textId="77777777" w:rsidR="0033761C" w:rsidRDefault="00000000">
      <w:pPr>
        <w:spacing w:before="300" w:after="150"/>
      </w:pPr>
      <w:r>
        <w:rPr>
          <w:b/>
          <w:bCs/>
          <w:sz w:val="28"/>
          <w:szCs w:val="28"/>
        </w:rPr>
        <w:t>5. Policy Evaluation</w:t>
      </w:r>
    </w:p>
    <w:p w14:paraId="2408722F" w14:textId="77777777" w:rsidR="0033761C" w:rsidRDefault="00000000">
      <w:pPr>
        <w:spacing w:before="200" w:after="100"/>
      </w:pPr>
      <w:r>
        <w:rPr>
          <w:b/>
          <w:bCs/>
          <w:i/>
          <w:iCs/>
          <w:sz w:val="28"/>
          <w:szCs w:val="28"/>
        </w:rPr>
        <w:t>Strengths</w:t>
      </w:r>
    </w:p>
    <w:p w14:paraId="731128A0" w14:textId="77777777" w:rsidR="0033761C" w:rsidRDefault="00000000">
      <w:pPr>
        <w:pStyle w:val="ListParagraph"/>
        <w:numPr>
          <w:ilvl w:val="0"/>
          <w:numId w:val="2"/>
        </w:numPr>
        <w:spacing w:after="120" w:line="300" w:lineRule="auto"/>
        <w:jc w:val="both"/>
      </w:pPr>
      <w:r>
        <w:rPr>
          <w:sz w:val="24"/>
          <w:szCs w:val="24"/>
        </w:rPr>
        <w:t>The policy is closely aligned with RBI's Charter of Customer Rights, giving customers a nationally consistent standard of protection rather than a bank-specific one.</w:t>
      </w:r>
    </w:p>
    <w:p w14:paraId="74506644" w14:textId="77777777" w:rsidR="0033761C" w:rsidRDefault="00000000">
      <w:pPr>
        <w:pStyle w:val="ListParagraph"/>
        <w:numPr>
          <w:ilvl w:val="0"/>
          <w:numId w:val="2"/>
        </w:numPr>
        <w:spacing w:after="120" w:line="300" w:lineRule="auto"/>
        <w:jc w:val="both"/>
      </w:pPr>
      <w:r>
        <w:rPr>
          <w:sz w:val="24"/>
          <w:szCs w:val="24"/>
        </w:rPr>
        <w:t>Clear, time-bound liability categories (zero, limited, and delayed reporting) give customers a fairly predictable idea of their financial exposure in case of fraud.</w:t>
      </w:r>
    </w:p>
    <w:p w14:paraId="4B7022BB" w14:textId="77777777" w:rsidR="0033761C" w:rsidRDefault="00000000">
      <w:pPr>
        <w:pStyle w:val="ListParagraph"/>
        <w:numPr>
          <w:ilvl w:val="0"/>
          <w:numId w:val="2"/>
        </w:numPr>
        <w:spacing w:after="120" w:line="300" w:lineRule="auto"/>
        <w:jc w:val="both"/>
      </w:pPr>
      <w:r>
        <w:rPr>
          <w:sz w:val="24"/>
          <w:szCs w:val="24"/>
        </w:rPr>
        <w:t>Multiple escalation levels — branch, Nodal Officer, Internal Ombudsman, and finally the RBI Banking Ombudsman — provide a structured path if a complaint is not resolved satisfactorily.</w:t>
      </w:r>
    </w:p>
    <w:p w14:paraId="27F14CA8" w14:textId="77777777" w:rsidR="0033761C" w:rsidRDefault="00000000">
      <w:pPr>
        <w:spacing w:before="200" w:after="100"/>
      </w:pPr>
      <w:r>
        <w:rPr>
          <w:b/>
          <w:bCs/>
          <w:i/>
          <w:iCs/>
          <w:sz w:val="28"/>
          <w:szCs w:val="28"/>
        </w:rPr>
        <w:t>Effectiveness and Practicality</w:t>
      </w:r>
    </w:p>
    <w:p w14:paraId="6F169202" w14:textId="77777777" w:rsidR="0033761C" w:rsidRDefault="00000000">
      <w:pPr>
        <w:spacing w:after="200" w:line="300" w:lineRule="auto"/>
        <w:jc w:val="both"/>
      </w:pPr>
      <w:r>
        <w:rPr>
          <w:sz w:val="24"/>
          <w:szCs w:val="24"/>
        </w:rPr>
        <w:t>The policy is practical because it ties customer liability directly to how quickly a transaction is reported, which encourages customers to act fast and also gives the bank a clear, auditable basis for deciding compensation. The published three-day acknowledgement and thirty-day resolution commitment gives customers a concrete benchmark to hold the bank accountable to.</w:t>
      </w:r>
    </w:p>
    <w:p w14:paraId="4FEC53C8" w14:textId="77777777" w:rsidR="0033761C" w:rsidRDefault="00000000">
      <w:pPr>
        <w:spacing w:before="200" w:after="100"/>
      </w:pPr>
      <w:r>
        <w:rPr>
          <w:b/>
          <w:bCs/>
          <w:i/>
          <w:iCs/>
          <w:sz w:val="28"/>
          <w:szCs w:val="28"/>
        </w:rPr>
        <w:lastRenderedPageBreak/>
        <w:t>Gaps and Limitations</w:t>
      </w:r>
    </w:p>
    <w:p w14:paraId="3856FFA4" w14:textId="77777777" w:rsidR="0033761C" w:rsidRDefault="00000000">
      <w:pPr>
        <w:pStyle w:val="ListParagraph"/>
        <w:numPr>
          <w:ilvl w:val="0"/>
          <w:numId w:val="2"/>
        </w:numPr>
        <w:spacing w:after="120" w:line="300" w:lineRule="auto"/>
        <w:jc w:val="both"/>
      </w:pPr>
      <w:r>
        <w:rPr>
          <w:sz w:val="24"/>
          <w:szCs w:val="24"/>
        </w:rPr>
        <w:t>Determining whether a delay in reporting was reasonable, or whether negligence contributed to the fraud, still involves some judgement by the bank, which can lead to disputes over liability classification.</w:t>
      </w:r>
    </w:p>
    <w:p w14:paraId="7C9A0433" w14:textId="77777777" w:rsidR="0033761C" w:rsidRDefault="00000000">
      <w:pPr>
        <w:pStyle w:val="ListParagraph"/>
        <w:numPr>
          <w:ilvl w:val="0"/>
          <w:numId w:val="2"/>
        </w:numPr>
        <w:spacing w:after="120" w:line="300" w:lineRule="auto"/>
        <w:jc w:val="both"/>
      </w:pPr>
      <w:r>
        <w:rPr>
          <w:sz w:val="24"/>
          <w:szCs w:val="24"/>
        </w:rPr>
        <w:t>Customers who are less familiar with digital banking may not know how quickly they need to report a fraud to remain eligible for zero liability, showing a gap between the policy on paper and actual customer awareness.</w:t>
      </w:r>
    </w:p>
    <w:p w14:paraId="3BA01FA0" w14:textId="77777777" w:rsidR="0033761C" w:rsidRDefault="00000000">
      <w:pPr>
        <w:pStyle w:val="ListParagraph"/>
        <w:numPr>
          <w:ilvl w:val="0"/>
          <w:numId w:val="2"/>
        </w:numPr>
        <w:spacing w:after="120" w:line="300" w:lineRule="auto"/>
        <w:jc w:val="both"/>
      </w:pPr>
      <w:r>
        <w:rPr>
          <w:sz w:val="24"/>
          <w:szCs w:val="24"/>
        </w:rPr>
        <w:t>Escalating a complaint all the way to the Banking Ombudsman can still take considerable time, which may be difficult for customers facing an urgent financial loss.</w:t>
      </w:r>
    </w:p>
    <w:p w14:paraId="08EA03C9" w14:textId="77777777" w:rsidR="0033761C" w:rsidRDefault="00000000">
      <w:pPr>
        <w:spacing w:before="200" w:after="100"/>
      </w:pPr>
      <w:r>
        <w:rPr>
          <w:b/>
          <w:bCs/>
          <w:i/>
          <w:iCs/>
          <w:sz w:val="28"/>
          <w:szCs w:val="28"/>
        </w:rPr>
        <w:t>Comparison with Good Corporate Practice</w:t>
      </w:r>
    </w:p>
    <w:p w14:paraId="149FF483" w14:textId="77777777" w:rsidR="0033761C" w:rsidRDefault="00000000">
      <w:pPr>
        <w:spacing w:after="200" w:line="300" w:lineRule="auto"/>
        <w:jc w:val="both"/>
      </w:pPr>
      <w:r>
        <w:rPr>
          <w:sz w:val="24"/>
          <w:szCs w:val="24"/>
        </w:rPr>
        <w:t>When compared with similar policies at other large private banks such as HDFC Bank and Axis Bank, ICICI Bank's framework is broadly similar in structure, since all of them follow the same RBI guidelines on liability limitation. ICICI Bank's early adoption of a published Code of Commitment to Customers, with specific service timelines, is a good practice that adds a layer of accountability beyond the minimum regulatory requirement.</w:t>
      </w:r>
    </w:p>
    <w:p w14:paraId="57740BCC" w14:textId="77777777" w:rsidR="0033761C" w:rsidRDefault="00000000">
      <w:pPr>
        <w:spacing w:before="300" w:after="150"/>
      </w:pPr>
      <w:r>
        <w:rPr>
          <w:b/>
          <w:bCs/>
          <w:sz w:val="28"/>
          <w:szCs w:val="28"/>
        </w:rPr>
        <w:t>6. Business Relevance</w:t>
      </w:r>
    </w:p>
    <w:p w14:paraId="19F57285" w14:textId="77777777" w:rsidR="0033761C" w:rsidRDefault="00000000">
      <w:pPr>
        <w:spacing w:after="200" w:line="300" w:lineRule="auto"/>
        <w:jc w:val="both"/>
      </w:pPr>
      <w:r>
        <w:rPr>
          <w:sz w:val="24"/>
          <w:szCs w:val="24"/>
        </w:rPr>
        <w:t xml:space="preserve">In modern banking, where a large share of transactions </w:t>
      </w:r>
      <w:proofErr w:type="gramStart"/>
      <w:r>
        <w:rPr>
          <w:sz w:val="24"/>
          <w:szCs w:val="24"/>
        </w:rPr>
        <w:t>happen</w:t>
      </w:r>
      <w:proofErr w:type="gramEnd"/>
      <w:r>
        <w:rPr>
          <w:sz w:val="24"/>
          <w:szCs w:val="24"/>
        </w:rPr>
        <w:t xml:space="preserve"> digitally through mobile apps, internet banking and cards, customer trust depends heavily on how well a bank protects customers from fraud and treats them fairly when disputes arise. For a bank like ICICI, which serves a very large retail customer base, a strong and transparent customer protection policy is essential to maintaining confidence in its digital banking channels.</w:t>
      </w:r>
    </w:p>
    <w:p w14:paraId="783710E2" w14:textId="77777777" w:rsidR="0033761C" w:rsidRDefault="00000000">
      <w:pPr>
        <w:spacing w:after="200" w:line="300" w:lineRule="auto"/>
        <w:jc w:val="both"/>
      </w:pPr>
      <w:r>
        <w:rPr>
          <w:sz w:val="24"/>
          <w:szCs w:val="24"/>
        </w:rPr>
        <w:t>The policy directly affects customers by limiting their financial exposure to fraud that is not their fault and by giving them a clear complaint process. It affects the bank itself by reducing legal and reputational risk, since clearly defined liability rules reduce the scope for disputes escalating into regulatory or legal action. It also affects the wider banking system, since consistent application of RBI's customer protection framework across banks helps maintain public confidence in digital payments generally.</w:t>
      </w:r>
    </w:p>
    <w:p w14:paraId="738FB39F" w14:textId="77777777" w:rsidR="0033761C" w:rsidRDefault="00000000">
      <w:pPr>
        <w:spacing w:after="200" w:line="300" w:lineRule="auto"/>
        <w:jc w:val="both"/>
      </w:pPr>
      <w:r>
        <w:rPr>
          <w:sz w:val="24"/>
          <w:szCs w:val="24"/>
        </w:rPr>
        <w:t>More broadly, this policy contributes to risk management by clearly allocating responsibility for fraud losses, supports ethical practice by ensuring customers are not unfairly blamed for failures outside their control, and strengthens governance through independent oversight roles such as the Internal Ombudsman and Customer Service Committee.</w:t>
      </w:r>
    </w:p>
    <w:p w14:paraId="6AEACEF9" w14:textId="77777777" w:rsidR="0033761C" w:rsidRDefault="00000000">
      <w:pPr>
        <w:spacing w:before="300" w:after="150"/>
      </w:pPr>
      <w:r>
        <w:rPr>
          <w:b/>
          <w:bCs/>
          <w:sz w:val="28"/>
          <w:szCs w:val="28"/>
        </w:rPr>
        <w:t>7. Recommendations</w:t>
      </w:r>
    </w:p>
    <w:p w14:paraId="4D131C2B" w14:textId="77777777" w:rsidR="0033761C" w:rsidRDefault="00000000">
      <w:pPr>
        <w:pStyle w:val="ListParagraph"/>
        <w:numPr>
          <w:ilvl w:val="0"/>
          <w:numId w:val="2"/>
        </w:numPr>
        <w:spacing w:after="120" w:line="300" w:lineRule="auto"/>
        <w:jc w:val="both"/>
      </w:pPr>
      <w:r>
        <w:rPr>
          <w:sz w:val="24"/>
          <w:szCs w:val="24"/>
        </w:rPr>
        <w:lastRenderedPageBreak/>
        <w:t>Increase customer education, particularly for less digitally experienced customers, on how quickly an unauthorised transaction must be reported to qualify for zero liability.</w:t>
      </w:r>
    </w:p>
    <w:p w14:paraId="712C853F" w14:textId="77777777" w:rsidR="0033761C" w:rsidRDefault="00000000">
      <w:pPr>
        <w:pStyle w:val="ListParagraph"/>
        <w:numPr>
          <w:ilvl w:val="0"/>
          <w:numId w:val="2"/>
        </w:numPr>
        <w:spacing w:after="120" w:line="300" w:lineRule="auto"/>
        <w:jc w:val="both"/>
      </w:pPr>
      <w:r>
        <w:rPr>
          <w:sz w:val="24"/>
          <w:szCs w:val="24"/>
        </w:rPr>
        <w:t>Publish more granular data on how many unauthorised transaction complaints were resolved under zero, limited, and full liability categories, to improve public transparency.</w:t>
      </w:r>
    </w:p>
    <w:p w14:paraId="5400A3BE" w14:textId="77777777" w:rsidR="0033761C" w:rsidRDefault="00000000">
      <w:pPr>
        <w:pStyle w:val="ListParagraph"/>
        <w:numPr>
          <w:ilvl w:val="0"/>
          <w:numId w:val="2"/>
        </w:numPr>
        <w:spacing w:after="120" w:line="300" w:lineRule="auto"/>
        <w:jc w:val="both"/>
      </w:pPr>
      <w:r>
        <w:rPr>
          <w:sz w:val="24"/>
          <w:szCs w:val="24"/>
        </w:rPr>
        <w:t>Introduce faster interim relief, such as partial provisional credit, for high-value disputed transactions while the investigation is still ongoing, to reduce customer hardship.</w:t>
      </w:r>
    </w:p>
    <w:p w14:paraId="3796928E" w14:textId="77777777" w:rsidR="0033761C" w:rsidRDefault="00000000">
      <w:pPr>
        <w:pStyle w:val="ListParagraph"/>
        <w:numPr>
          <w:ilvl w:val="0"/>
          <w:numId w:val="2"/>
        </w:numPr>
        <w:spacing w:after="120" w:line="300" w:lineRule="auto"/>
        <w:jc w:val="both"/>
      </w:pPr>
      <w:r>
        <w:rPr>
          <w:sz w:val="24"/>
          <w:szCs w:val="24"/>
        </w:rPr>
        <w:t>Simplify the language used in liability-related communication sent to customers, so that timelines and rights are clearly understood without needing to read detailed policy documents.</w:t>
      </w:r>
    </w:p>
    <w:p w14:paraId="268125F5" w14:textId="77777777" w:rsidR="0033761C" w:rsidRDefault="00000000">
      <w:pPr>
        <w:pStyle w:val="ListParagraph"/>
        <w:numPr>
          <w:ilvl w:val="0"/>
          <w:numId w:val="2"/>
        </w:numPr>
        <w:spacing w:after="120" w:line="300" w:lineRule="auto"/>
        <w:jc w:val="both"/>
      </w:pPr>
      <w:r>
        <w:rPr>
          <w:sz w:val="24"/>
          <w:szCs w:val="24"/>
        </w:rPr>
        <w:t>Strengthen real-time fraud detection systems to reduce the number of unauthorised transactions in the first place, rather than relying mainly on post-fraud compensation mechanisms.</w:t>
      </w:r>
    </w:p>
    <w:p w14:paraId="4399EFB6" w14:textId="77777777" w:rsidR="0033761C" w:rsidRDefault="00000000">
      <w:pPr>
        <w:spacing w:before="300" w:after="150"/>
      </w:pPr>
      <w:r>
        <w:rPr>
          <w:b/>
          <w:bCs/>
          <w:sz w:val="28"/>
          <w:szCs w:val="28"/>
        </w:rPr>
        <w:t>8. Conclusion</w:t>
      </w:r>
    </w:p>
    <w:p w14:paraId="038DEC71" w14:textId="77777777" w:rsidR="0033761C" w:rsidRDefault="00000000">
      <w:pPr>
        <w:spacing w:after="200" w:line="300" w:lineRule="auto"/>
        <w:jc w:val="both"/>
      </w:pPr>
      <w:r>
        <w:rPr>
          <w:sz w:val="24"/>
          <w:szCs w:val="24"/>
        </w:rPr>
        <w:t>Overall, the ICICI Bank Customer Protection Policy is a well-structured framework that closely follows the customer protection standards set by the Reserve Bank of India. It clearly defines customer rights, sets out realistic timelines for grievance redressal, and applies a fair, tiered approach to determining customer liability in cases of unauthorised electronic transactions.</w:t>
      </w:r>
    </w:p>
    <w:p w14:paraId="76B45DED" w14:textId="77777777" w:rsidR="0033761C" w:rsidRDefault="00000000">
      <w:pPr>
        <w:spacing w:after="200" w:line="300" w:lineRule="auto"/>
        <w:jc w:val="both"/>
      </w:pPr>
      <w:r>
        <w:rPr>
          <w:sz w:val="24"/>
          <w:szCs w:val="24"/>
        </w:rPr>
        <w:t>The key learning from this review is that customer protection in banking depends not only on having clear rules but also on how quickly and fairly those rules are applied in practice. Structured liability categories and multiple escalation levels, including the Banking Ombudsman, show how regulatory principles are converted into a workable customer-facing process.</w:t>
      </w:r>
    </w:p>
    <w:p w14:paraId="008433C1" w14:textId="77777777" w:rsidR="0033761C" w:rsidRDefault="00000000">
      <w:pPr>
        <w:spacing w:after="200" w:line="300" w:lineRule="auto"/>
        <w:jc w:val="both"/>
      </w:pPr>
      <w:r>
        <w:rPr>
          <w:sz w:val="24"/>
          <w:szCs w:val="24"/>
        </w:rPr>
        <w:t>This review also highlights why customer protection policies matter for the banking sector as a whole. Banks handle customers' money and sensitive financial data, and any perception of unfair treatment can seriously damage public trust. For a large retail bank like ICICI, a transparent, rights-based customer protection policy is directly linked to its long-term reputation and the stability of the banking relationships it depends on.</w:t>
      </w:r>
    </w:p>
    <w:p w14:paraId="6AC220E4" w14:textId="77777777" w:rsidR="0033761C" w:rsidRDefault="00000000">
      <w:pPr>
        <w:spacing w:before="300" w:after="150"/>
      </w:pPr>
      <w:r>
        <w:rPr>
          <w:b/>
          <w:bCs/>
          <w:sz w:val="28"/>
          <w:szCs w:val="28"/>
        </w:rPr>
        <w:t>9. References</w:t>
      </w:r>
    </w:p>
    <w:p w14:paraId="3474CA5C" w14:textId="77777777" w:rsidR="0033761C" w:rsidRDefault="00000000">
      <w:pPr>
        <w:pStyle w:val="ListParagraph"/>
        <w:numPr>
          <w:ilvl w:val="0"/>
          <w:numId w:val="2"/>
        </w:numPr>
        <w:spacing w:after="120" w:line="300" w:lineRule="auto"/>
        <w:jc w:val="both"/>
      </w:pPr>
      <w:r>
        <w:rPr>
          <w:sz w:val="24"/>
          <w:szCs w:val="24"/>
        </w:rPr>
        <w:t>ICICI Bank Limited, Customer Rights Policy and Code of Commitment to Customers, available on the ICICI Bank website.</w:t>
      </w:r>
    </w:p>
    <w:p w14:paraId="7F83F034" w14:textId="77777777" w:rsidR="0033761C" w:rsidRDefault="00000000">
      <w:pPr>
        <w:pStyle w:val="ListParagraph"/>
        <w:numPr>
          <w:ilvl w:val="0"/>
          <w:numId w:val="2"/>
        </w:numPr>
        <w:spacing w:after="120" w:line="300" w:lineRule="auto"/>
        <w:jc w:val="both"/>
      </w:pPr>
      <w:r>
        <w:rPr>
          <w:sz w:val="24"/>
          <w:szCs w:val="24"/>
        </w:rPr>
        <w:t>ICICI Bank Limited, official corporate website — www.icicibank.com.</w:t>
      </w:r>
    </w:p>
    <w:p w14:paraId="03A2F15B" w14:textId="77777777" w:rsidR="0033761C" w:rsidRDefault="00000000">
      <w:pPr>
        <w:pStyle w:val="ListParagraph"/>
        <w:numPr>
          <w:ilvl w:val="0"/>
          <w:numId w:val="2"/>
        </w:numPr>
        <w:spacing w:after="120" w:line="300" w:lineRule="auto"/>
        <w:jc w:val="both"/>
      </w:pPr>
      <w:r>
        <w:rPr>
          <w:sz w:val="24"/>
          <w:szCs w:val="24"/>
        </w:rPr>
        <w:t>Reserve Bank of India, Charter of Customer Rights.</w:t>
      </w:r>
    </w:p>
    <w:p w14:paraId="1D11EA48" w14:textId="77777777" w:rsidR="0033761C" w:rsidRDefault="00000000">
      <w:pPr>
        <w:pStyle w:val="ListParagraph"/>
        <w:numPr>
          <w:ilvl w:val="0"/>
          <w:numId w:val="2"/>
        </w:numPr>
        <w:spacing w:after="120" w:line="300" w:lineRule="auto"/>
        <w:jc w:val="both"/>
      </w:pPr>
      <w:r>
        <w:rPr>
          <w:sz w:val="24"/>
          <w:szCs w:val="24"/>
        </w:rPr>
        <w:lastRenderedPageBreak/>
        <w:t>Reserve Bank of India, Master Circular on Customer Service in Banks and guidelines on limiting customer liability in unauthorised electronic banking transactions.</w:t>
      </w:r>
    </w:p>
    <w:p w14:paraId="535584CD" w14:textId="77777777" w:rsidR="0033761C" w:rsidRDefault="00000000">
      <w:pPr>
        <w:pStyle w:val="ListParagraph"/>
        <w:numPr>
          <w:ilvl w:val="0"/>
          <w:numId w:val="2"/>
        </w:numPr>
        <w:spacing w:after="120" w:line="300" w:lineRule="auto"/>
        <w:jc w:val="both"/>
      </w:pPr>
      <w:r>
        <w:rPr>
          <w:sz w:val="24"/>
          <w:szCs w:val="24"/>
        </w:rPr>
        <w:t>Reserve Bank of India, Integrated Ombudsman Scheme, 2021.</w:t>
      </w:r>
    </w:p>
    <w:p w14:paraId="12D4929A" w14:textId="77777777" w:rsidR="0033761C" w:rsidRDefault="00000000">
      <w:pPr>
        <w:pStyle w:val="ListParagraph"/>
        <w:numPr>
          <w:ilvl w:val="0"/>
          <w:numId w:val="2"/>
        </w:numPr>
        <w:spacing w:after="120" w:line="300" w:lineRule="auto"/>
        <w:jc w:val="both"/>
      </w:pPr>
      <w:r>
        <w:rPr>
          <w:sz w:val="24"/>
          <w:szCs w:val="24"/>
        </w:rPr>
        <w:t>Banking Codes and Standards Board of India (BCSBI), Code of Bank's Commitment to Customers.</w:t>
      </w:r>
    </w:p>
    <w:sectPr w:rsidR="0033761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B5C29"/>
    <w:multiLevelType w:val="hybridMultilevel"/>
    <w:tmpl w:val="A0C67614"/>
    <w:lvl w:ilvl="0" w:tplc="81FC285A">
      <w:start w:val="1"/>
      <w:numFmt w:val="bullet"/>
      <w:lvlText w:val="•"/>
      <w:lvlJc w:val="left"/>
      <w:pPr>
        <w:ind w:left="480" w:hanging="240"/>
      </w:pPr>
    </w:lvl>
    <w:lvl w:ilvl="1" w:tplc="5A086D90">
      <w:numFmt w:val="decimal"/>
      <w:lvlText w:val=""/>
      <w:lvlJc w:val="left"/>
    </w:lvl>
    <w:lvl w:ilvl="2" w:tplc="AE52EC60">
      <w:numFmt w:val="decimal"/>
      <w:lvlText w:val=""/>
      <w:lvlJc w:val="left"/>
    </w:lvl>
    <w:lvl w:ilvl="3" w:tplc="A5121A72">
      <w:numFmt w:val="decimal"/>
      <w:lvlText w:val=""/>
      <w:lvlJc w:val="left"/>
    </w:lvl>
    <w:lvl w:ilvl="4" w:tplc="E3F8400A">
      <w:numFmt w:val="decimal"/>
      <w:lvlText w:val=""/>
      <w:lvlJc w:val="left"/>
    </w:lvl>
    <w:lvl w:ilvl="5" w:tplc="0B3EBADA">
      <w:numFmt w:val="decimal"/>
      <w:lvlText w:val=""/>
      <w:lvlJc w:val="left"/>
    </w:lvl>
    <w:lvl w:ilvl="6" w:tplc="EF36A194">
      <w:numFmt w:val="decimal"/>
      <w:lvlText w:val=""/>
      <w:lvlJc w:val="left"/>
    </w:lvl>
    <w:lvl w:ilvl="7" w:tplc="5048566E">
      <w:numFmt w:val="decimal"/>
      <w:lvlText w:val=""/>
      <w:lvlJc w:val="left"/>
    </w:lvl>
    <w:lvl w:ilvl="8" w:tplc="459AA1E6">
      <w:numFmt w:val="decimal"/>
      <w:lvlText w:val=""/>
      <w:lvlJc w:val="left"/>
    </w:lvl>
  </w:abstractNum>
  <w:abstractNum w:abstractNumId="1" w15:restartNumberingAfterBreak="0">
    <w:nsid w:val="50A91AAE"/>
    <w:multiLevelType w:val="hybridMultilevel"/>
    <w:tmpl w:val="6F64D714"/>
    <w:lvl w:ilvl="0" w:tplc="A8FC4DC6">
      <w:start w:val="1"/>
      <w:numFmt w:val="bullet"/>
      <w:lvlText w:val="●"/>
      <w:lvlJc w:val="left"/>
      <w:pPr>
        <w:ind w:left="720" w:hanging="360"/>
      </w:pPr>
    </w:lvl>
    <w:lvl w:ilvl="1" w:tplc="F2D8F002">
      <w:start w:val="1"/>
      <w:numFmt w:val="bullet"/>
      <w:lvlText w:val="○"/>
      <w:lvlJc w:val="left"/>
      <w:pPr>
        <w:ind w:left="1440" w:hanging="360"/>
      </w:pPr>
    </w:lvl>
    <w:lvl w:ilvl="2" w:tplc="1A908F14">
      <w:start w:val="1"/>
      <w:numFmt w:val="bullet"/>
      <w:lvlText w:val="■"/>
      <w:lvlJc w:val="left"/>
      <w:pPr>
        <w:ind w:left="2160" w:hanging="360"/>
      </w:pPr>
    </w:lvl>
    <w:lvl w:ilvl="3" w:tplc="60F63364">
      <w:start w:val="1"/>
      <w:numFmt w:val="bullet"/>
      <w:lvlText w:val="●"/>
      <w:lvlJc w:val="left"/>
      <w:pPr>
        <w:ind w:left="2880" w:hanging="360"/>
      </w:pPr>
    </w:lvl>
    <w:lvl w:ilvl="4" w:tplc="0186EC9E">
      <w:start w:val="1"/>
      <w:numFmt w:val="bullet"/>
      <w:lvlText w:val="○"/>
      <w:lvlJc w:val="left"/>
      <w:pPr>
        <w:ind w:left="3600" w:hanging="360"/>
      </w:pPr>
    </w:lvl>
    <w:lvl w:ilvl="5" w:tplc="FBE652C2">
      <w:start w:val="1"/>
      <w:numFmt w:val="bullet"/>
      <w:lvlText w:val="■"/>
      <w:lvlJc w:val="left"/>
      <w:pPr>
        <w:ind w:left="4320" w:hanging="360"/>
      </w:pPr>
    </w:lvl>
    <w:lvl w:ilvl="6" w:tplc="618E17EC">
      <w:start w:val="1"/>
      <w:numFmt w:val="bullet"/>
      <w:lvlText w:val="●"/>
      <w:lvlJc w:val="left"/>
      <w:pPr>
        <w:ind w:left="5040" w:hanging="360"/>
      </w:pPr>
    </w:lvl>
    <w:lvl w:ilvl="7" w:tplc="FC8C3BA2">
      <w:start w:val="1"/>
      <w:numFmt w:val="bullet"/>
      <w:lvlText w:val="●"/>
      <w:lvlJc w:val="left"/>
      <w:pPr>
        <w:ind w:left="5760" w:hanging="360"/>
      </w:pPr>
    </w:lvl>
    <w:lvl w:ilvl="8" w:tplc="4386C6A2">
      <w:start w:val="1"/>
      <w:numFmt w:val="bullet"/>
      <w:lvlText w:val="●"/>
      <w:lvlJc w:val="left"/>
      <w:pPr>
        <w:ind w:left="6480" w:hanging="360"/>
      </w:pPr>
    </w:lvl>
  </w:abstractNum>
  <w:num w:numId="1" w16cid:durableId="226769562">
    <w:abstractNumId w:val="1"/>
    <w:lvlOverride w:ilvl="0">
      <w:startOverride w:val="1"/>
    </w:lvlOverride>
  </w:num>
  <w:num w:numId="2" w16cid:durableId="5891193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61C"/>
    <w:rsid w:val="000355AA"/>
    <w:rsid w:val="0033761C"/>
    <w:rsid w:val="0080489D"/>
    <w:rsid w:val="008D55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C5B45"/>
  <w15:docId w15:val="{01A5268B-AE21-44F2-9CA0-B1CE641AC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1931</Words>
  <Characters>11013</Characters>
  <Application>Microsoft Office Word</Application>
  <DocSecurity>0</DocSecurity>
  <Lines>91</Lines>
  <Paragraphs>25</Paragraphs>
  <ScaleCrop>false</ScaleCrop>
  <Company/>
  <LinksUpToDate>false</LinksUpToDate>
  <CharactersWithSpaces>12919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Pavithran D</cp:lastModifiedBy>
  <cp:revision>3</cp:revision>
  <dcterms:created xsi:type="dcterms:W3CDTF">2026-09-25T09:04:00Z</dcterms:created>
  <dcterms:modified xsi:type="dcterms:W3CDTF">2026-09-25T09:05:00Z</dcterms:modified>
</cp:coreProperties>
</file>