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FF607" w14:textId="77777777" w:rsidR="004E00D0" w:rsidRPr="00154413" w:rsidRDefault="004E00D0">
      <w:pPr>
        <w:spacing w:before="2400"/>
        <w:rPr>
          <w:color w:val="000000" w:themeColor="text1"/>
        </w:rPr>
      </w:pPr>
    </w:p>
    <w:p w14:paraId="6BBE1C4B" w14:textId="77777777" w:rsidR="004E00D0" w:rsidRPr="00154413" w:rsidRDefault="00000000">
      <w:pPr>
        <w:spacing w:after="400"/>
        <w:jc w:val="center"/>
        <w:rPr>
          <w:color w:val="000000" w:themeColor="text1"/>
          <w:sz w:val="36"/>
          <w:szCs w:val="36"/>
        </w:rPr>
      </w:pPr>
      <w:r w:rsidRPr="00154413">
        <w:rPr>
          <w:b/>
          <w:bCs/>
          <w:color w:val="000000" w:themeColor="text1"/>
          <w:sz w:val="72"/>
          <w:szCs w:val="72"/>
        </w:rPr>
        <w:t>CASE ANALYSIS REPORT</w:t>
      </w:r>
    </w:p>
    <w:p w14:paraId="77505A76" w14:textId="77777777" w:rsidR="004E00D0" w:rsidRPr="00154413" w:rsidRDefault="00000000">
      <w:pPr>
        <w:spacing w:after="1600"/>
        <w:jc w:val="center"/>
        <w:rPr>
          <w:color w:val="000000" w:themeColor="text1"/>
          <w:sz w:val="22"/>
          <w:szCs w:val="22"/>
        </w:rPr>
      </w:pPr>
      <w:r w:rsidRPr="00154413">
        <w:rPr>
          <w:i/>
          <w:iCs/>
          <w:color w:val="000000" w:themeColor="text1"/>
          <w:sz w:val="32"/>
          <w:szCs w:val="32"/>
        </w:rPr>
        <w:t>Justice K.S. Puttaswamy (Retd.) v. Union of India (2017)</w:t>
      </w:r>
    </w:p>
    <w:p w14:paraId="60AB4C63" w14:textId="178C31F4" w:rsidR="004E00D0" w:rsidRPr="00154413" w:rsidRDefault="00000000">
      <w:pPr>
        <w:spacing w:after="200"/>
        <w:jc w:val="center"/>
        <w:rPr>
          <w:color w:val="000000" w:themeColor="text1"/>
        </w:rPr>
      </w:pPr>
      <w:r w:rsidRPr="00154413">
        <w:rPr>
          <w:color w:val="000000" w:themeColor="text1"/>
          <w:sz w:val="26"/>
          <w:szCs w:val="26"/>
        </w:rPr>
        <w:t>Student Name: Pavithran</w:t>
      </w:r>
      <w:r w:rsidR="00154413">
        <w:rPr>
          <w:color w:val="000000" w:themeColor="text1"/>
          <w:sz w:val="26"/>
          <w:szCs w:val="26"/>
        </w:rPr>
        <w:t xml:space="preserve"> D</w:t>
      </w:r>
    </w:p>
    <w:p w14:paraId="269E64FB" w14:textId="292F3092" w:rsidR="004E00D0" w:rsidRPr="00154413" w:rsidRDefault="00000000">
      <w:pPr>
        <w:spacing w:after="200"/>
        <w:jc w:val="center"/>
        <w:rPr>
          <w:color w:val="000000" w:themeColor="text1"/>
        </w:rPr>
      </w:pPr>
      <w:r w:rsidRPr="00154413">
        <w:rPr>
          <w:color w:val="000000" w:themeColor="text1"/>
          <w:sz w:val="26"/>
          <w:szCs w:val="26"/>
        </w:rPr>
        <w:t xml:space="preserve">Register Number: </w:t>
      </w:r>
      <w:r w:rsidR="00154413">
        <w:rPr>
          <w:color w:val="000000" w:themeColor="text1"/>
          <w:sz w:val="26"/>
          <w:szCs w:val="26"/>
        </w:rPr>
        <w:t xml:space="preserve">5272510215 </w:t>
      </w:r>
    </w:p>
    <w:p w14:paraId="2594C40E" w14:textId="56342394" w:rsidR="004E00D0" w:rsidRPr="00154413" w:rsidRDefault="00000000">
      <w:pPr>
        <w:spacing w:after="200"/>
        <w:jc w:val="center"/>
        <w:rPr>
          <w:color w:val="000000" w:themeColor="text1"/>
        </w:rPr>
      </w:pPr>
      <w:r w:rsidRPr="00154413">
        <w:rPr>
          <w:color w:val="000000" w:themeColor="text1"/>
          <w:sz w:val="26"/>
          <w:szCs w:val="26"/>
        </w:rPr>
        <w:t>Course: B.</w:t>
      </w:r>
      <w:r w:rsidR="00154413">
        <w:rPr>
          <w:color w:val="000000" w:themeColor="text1"/>
          <w:sz w:val="26"/>
          <w:szCs w:val="26"/>
        </w:rPr>
        <w:t xml:space="preserve"> </w:t>
      </w:r>
      <w:r w:rsidRPr="00154413">
        <w:rPr>
          <w:color w:val="000000" w:themeColor="text1"/>
          <w:sz w:val="26"/>
          <w:szCs w:val="26"/>
        </w:rPr>
        <w:t>Com (FinTech with AI)</w:t>
      </w:r>
    </w:p>
    <w:p w14:paraId="3970EAC1" w14:textId="77777777" w:rsidR="004E00D0" w:rsidRPr="00154413" w:rsidRDefault="00000000">
      <w:pPr>
        <w:rPr>
          <w:color w:val="000000" w:themeColor="text1"/>
        </w:rPr>
      </w:pPr>
      <w:r w:rsidRPr="00154413">
        <w:rPr>
          <w:color w:val="000000" w:themeColor="text1"/>
        </w:rPr>
        <w:br w:type="page"/>
      </w:r>
    </w:p>
    <w:p w14:paraId="3BEABFDC" w14:textId="77777777" w:rsidR="004E00D0" w:rsidRPr="00154413" w:rsidRDefault="004E00D0">
      <w:pPr>
        <w:rPr>
          <w:color w:val="000000" w:themeColor="text1"/>
        </w:rPr>
        <w:sectPr w:rsidR="004E00D0" w:rsidRPr="00154413">
          <w:pgSz w:w="12240" w:h="15840"/>
          <w:pgMar w:top="1440" w:right="1440" w:bottom="1440" w:left="1440" w:header="708" w:footer="708" w:gutter="0"/>
          <w:cols w:space="720"/>
          <w:docGrid w:linePitch="360"/>
        </w:sectPr>
      </w:pPr>
    </w:p>
    <w:p w14:paraId="37CF3B48" w14:textId="77777777" w:rsidR="004E00D0" w:rsidRPr="00154413" w:rsidRDefault="00000000">
      <w:pPr>
        <w:keepNext/>
        <w:pBdr>
          <w:bottom w:val="single" w:sz="6" w:space="4" w:color="1F3864"/>
        </w:pBdr>
        <w:spacing w:before="400" w:after="200"/>
        <w:rPr>
          <w:color w:val="000000" w:themeColor="text1"/>
        </w:rPr>
      </w:pPr>
      <w:r w:rsidRPr="00154413">
        <w:rPr>
          <w:b/>
          <w:bCs/>
          <w:color w:val="000000" w:themeColor="text1"/>
          <w:sz w:val="28"/>
          <w:szCs w:val="28"/>
        </w:rPr>
        <w:lastRenderedPageBreak/>
        <w:t>1. Introduction</w:t>
      </w:r>
    </w:p>
    <w:p w14:paraId="24220343" w14:textId="77777777" w:rsidR="004E00D0" w:rsidRPr="00154413" w:rsidRDefault="00000000">
      <w:pPr>
        <w:keepNext/>
        <w:spacing w:before="240" w:after="120"/>
        <w:rPr>
          <w:color w:val="000000" w:themeColor="text1"/>
        </w:rPr>
      </w:pPr>
      <w:r w:rsidRPr="00154413">
        <w:rPr>
          <w:b/>
          <w:bCs/>
          <w:color w:val="000000" w:themeColor="text1"/>
          <w:sz w:val="24"/>
          <w:szCs w:val="24"/>
        </w:rPr>
        <w:t>1.1 Case Citation &amp; Jurisdiction</w:t>
      </w:r>
    </w:p>
    <w:p w14:paraId="47E3ED78" w14:textId="77777777" w:rsidR="004E00D0" w:rsidRPr="00154413" w:rsidRDefault="00000000">
      <w:pPr>
        <w:spacing w:after="160" w:line="300" w:lineRule="auto"/>
        <w:jc w:val="both"/>
        <w:rPr>
          <w:color w:val="000000" w:themeColor="text1"/>
        </w:rPr>
      </w:pPr>
      <w:r w:rsidRPr="00154413">
        <w:rPr>
          <w:color w:val="000000" w:themeColor="text1"/>
          <w:sz w:val="24"/>
          <w:szCs w:val="24"/>
        </w:rPr>
        <w:t>Case Name: Justice K.S. Puttaswamy (Retd.) and Anr. v. Union of India and Ors. Equivalent Citation: (2017) 10 SCC 1. Court: Supreme Court of India. Bench Strength: 9-Judge Constitution Bench. Date of Judgment: 24 August 2017. Type of Proceeding: Writ Petition under Article 32 of the Constitution.</w:t>
      </w:r>
    </w:p>
    <w:p w14:paraId="0E19DD0E" w14:textId="77777777" w:rsidR="004E00D0" w:rsidRPr="00154413" w:rsidRDefault="00000000">
      <w:pPr>
        <w:keepNext/>
        <w:spacing w:before="240" w:after="120"/>
        <w:rPr>
          <w:color w:val="000000" w:themeColor="text1"/>
        </w:rPr>
      </w:pPr>
      <w:r w:rsidRPr="00154413">
        <w:rPr>
          <w:b/>
          <w:bCs/>
          <w:color w:val="000000" w:themeColor="text1"/>
          <w:sz w:val="24"/>
          <w:szCs w:val="24"/>
        </w:rPr>
        <w:t>1.2 Brief Introduction to the Case</w:t>
      </w:r>
    </w:p>
    <w:p w14:paraId="11420801" w14:textId="77777777" w:rsidR="004E00D0" w:rsidRPr="00154413" w:rsidRDefault="00000000">
      <w:pPr>
        <w:spacing w:after="160" w:line="300" w:lineRule="auto"/>
        <w:jc w:val="both"/>
        <w:rPr>
          <w:color w:val="000000" w:themeColor="text1"/>
        </w:rPr>
      </w:pPr>
      <w:r w:rsidRPr="00154413">
        <w:rPr>
          <w:color w:val="000000" w:themeColor="text1"/>
          <w:sz w:val="24"/>
          <w:szCs w:val="24"/>
        </w:rPr>
        <w:t>This is the most important case in India when it comes to the right to privacy, and it forms the foundation for how personal data is protected in the country today. In 2009, the Indian government set up the Unique Identification Authority of India (UIDAI) to roll out Aadhaar, a 12-digit identity number linked to a person's fingerprints and iris scans, mainly to make welfare schemes more efficient and reduce fraud. Justice K.S. Puttaswamy, a retired judge, challenged this scheme in court, arguing that collecting this kind of sensitive biometric data without strong legal safeguards violated people's right to privacy. Because earlier judgments had said the Constitution does not clearly protect privacy as a fundamental right, the case eventually reached a large 9-judge bench of the Supreme Court, which had to settle this question once and for all. The final decision recognised privacy as a fundamental right, and this became the backbone for future data protection law in India.</w:t>
      </w:r>
    </w:p>
    <w:p w14:paraId="2D39BE65" w14:textId="77777777" w:rsidR="004E00D0" w:rsidRPr="00154413" w:rsidRDefault="00000000">
      <w:pPr>
        <w:keepNext/>
        <w:pBdr>
          <w:bottom w:val="single" w:sz="6" w:space="4" w:color="1F3864"/>
        </w:pBdr>
        <w:spacing w:before="400" w:after="200"/>
        <w:rPr>
          <w:color w:val="000000" w:themeColor="text1"/>
        </w:rPr>
      </w:pPr>
      <w:r w:rsidRPr="00154413">
        <w:rPr>
          <w:b/>
          <w:bCs/>
          <w:color w:val="000000" w:themeColor="text1"/>
          <w:sz w:val="28"/>
          <w:szCs w:val="28"/>
        </w:rPr>
        <w:t>2. Facts of the Case</w:t>
      </w:r>
    </w:p>
    <w:p w14:paraId="1B49ECBB" w14:textId="77777777" w:rsidR="004E00D0" w:rsidRPr="00154413" w:rsidRDefault="00000000">
      <w:pPr>
        <w:keepNext/>
        <w:spacing w:before="240" w:after="120"/>
        <w:rPr>
          <w:color w:val="000000" w:themeColor="text1"/>
        </w:rPr>
      </w:pPr>
      <w:r w:rsidRPr="00154413">
        <w:rPr>
          <w:b/>
          <w:bCs/>
          <w:color w:val="000000" w:themeColor="text1"/>
          <w:sz w:val="24"/>
          <w:szCs w:val="24"/>
        </w:rPr>
        <w:t>2.1 Chronological Summary of Events</w:t>
      </w:r>
    </w:p>
    <w:p w14:paraId="7E0B72B5" w14:textId="77777777" w:rsidR="004E00D0" w:rsidRPr="00154413" w:rsidRDefault="00000000">
      <w:pPr>
        <w:pStyle w:val="ListParagraph"/>
        <w:numPr>
          <w:ilvl w:val="0"/>
          <w:numId w:val="1"/>
        </w:numPr>
        <w:spacing w:after="100" w:line="300" w:lineRule="auto"/>
        <w:jc w:val="both"/>
        <w:rPr>
          <w:color w:val="000000" w:themeColor="text1"/>
        </w:rPr>
      </w:pPr>
      <w:r w:rsidRPr="00154413">
        <w:rPr>
          <w:color w:val="000000" w:themeColor="text1"/>
          <w:sz w:val="24"/>
          <w:szCs w:val="24"/>
        </w:rPr>
        <w:t>2009 - The Indian government set up the Unique Identification Authority of India (UIDAI) to implement Aadhaar, a scheme collecting citizens' demographic details along with biometric data like fingerprints and iris scans.</w:t>
      </w:r>
    </w:p>
    <w:p w14:paraId="183C937A" w14:textId="77777777" w:rsidR="004E00D0" w:rsidRPr="00154413" w:rsidRDefault="00000000">
      <w:pPr>
        <w:pStyle w:val="ListParagraph"/>
        <w:numPr>
          <w:ilvl w:val="0"/>
          <w:numId w:val="1"/>
        </w:numPr>
        <w:spacing w:after="100" w:line="300" w:lineRule="auto"/>
        <w:jc w:val="both"/>
        <w:rPr>
          <w:color w:val="000000" w:themeColor="text1"/>
        </w:rPr>
      </w:pPr>
      <w:r w:rsidRPr="00154413">
        <w:rPr>
          <w:color w:val="000000" w:themeColor="text1"/>
          <w:sz w:val="24"/>
          <w:szCs w:val="24"/>
        </w:rPr>
        <w:t>The stated purpose of Aadhaar was to streamline the delivery of public welfare benefits, subsidies, and services, and to reduce fraud in these systems.</w:t>
      </w:r>
    </w:p>
    <w:p w14:paraId="66F25D66" w14:textId="77777777" w:rsidR="004E00D0" w:rsidRPr="00154413" w:rsidRDefault="00000000">
      <w:pPr>
        <w:pStyle w:val="ListParagraph"/>
        <w:numPr>
          <w:ilvl w:val="0"/>
          <w:numId w:val="1"/>
        </w:numPr>
        <w:spacing w:after="100" w:line="300" w:lineRule="auto"/>
        <w:jc w:val="both"/>
        <w:rPr>
          <w:color w:val="000000" w:themeColor="text1"/>
        </w:rPr>
      </w:pPr>
      <w:r w:rsidRPr="00154413">
        <w:rPr>
          <w:color w:val="000000" w:themeColor="text1"/>
          <w:sz w:val="24"/>
          <w:szCs w:val="24"/>
        </w:rPr>
        <w:t>2012 - Justice K.S. Puttaswamy, a retired judge of the Karnataka High Court, filed a writ petition challenging the constitutional validity of the Aadhaar scheme, arguing that collecting citizens' biometric data without proper legislative backing and safeguards violated their fundamental right to privacy.</w:t>
      </w:r>
    </w:p>
    <w:p w14:paraId="7AF60717" w14:textId="77777777" w:rsidR="004E00D0" w:rsidRPr="00154413" w:rsidRDefault="00000000">
      <w:pPr>
        <w:pStyle w:val="ListParagraph"/>
        <w:numPr>
          <w:ilvl w:val="0"/>
          <w:numId w:val="1"/>
        </w:numPr>
        <w:spacing w:after="100" w:line="300" w:lineRule="auto"/>
        <w:jc w:val="both"/>
        <w:rPr>
          <w:color w:val="000000" w:themeColor="text1"/>
        </w:rPr>
      </w:pPr>
      <w:r w:rsidRPr="00154413">
        <w:rPr>
          <w:color w:val="000000" w:themeColor="text1"/>
          <w:sz w:val="24"/>
          <w:szCs w:val="24"/>
        </w:rPr>
        <w:t xml:space="preserve">When the case first came before a 3-judge bench, the government's lawyers relied on two old judgments, M.P. Sharma v. Satish Chandra (1954) and Kharak Singh v. State of U.P. </w:t>
      </w:r>
      <w:r w:rsidRPr="00154413">
        <w:rPr>
          <w:color w:val="000000" w:themeColor="text1"/>
          <w:sz w:val="24"/>
          <w:szCs w:val="24"/>
        </w:rPr>
        <w:lastRenderedPageBreak/>
        <w:t>(1962), which had held that the Constitution did not explicitly recognise a fundamental right to privacy.</w:t>
      </w:r>
    </w:p>
    <w:p w14:paraId="4B7AF2EB" w14:textId="77777777" w:rsidR="004E00D0" w:rsidRPr="00154413" w:rsidRDefault="00000000">
      <w:pPr>
        <w:pStyle w:val="ListParagraph"/>
        <w:numPr>
          <w:ilvl w:val="0"/>
          <w:numId w:val="1"/>
        </w:numPr>
        <w:spacing w:after="100" w:line="300" w:lineRule="auto"/>
        <w:jc w:val="both"/>
        <w:rPr>
          <w:color w:val="000000" w:themeColor="text1"/>
        </w:rPr>
      </w:pPr>
      <w:r w:rsidRPr="00154413">
        <w:rPr>
          <w:color w:val="000000" w:themeColor="text1"/>
          <w:sz w:val="24"/>
          <w:szCs w:val="24"/>
        </w:rPr>
        <w:t>Realising that this raised a much bigger constitutional question, the Supreme Court referred the matter to a larger 9-judge Constitution Bench, specifically to decide whether the right to privacy is a fundamental right under the Indian Constitution.</w:t>
      </w:r>
    </w:p>
    <w:p w14:paraId="46C5FB0F" w14:textId="77777777" w:rsidR="004E00D0" w:rsidRPr="00154413" w:rsidRDefault="00000000">
      <w:pPr>
        <w:pStyle w:val="ListParagraph"/>
        <w:numPr>
          <w:ilvl w:val="0"/>
          <w:numId w:val="1"/>
        </w:numPr>
        <w:spacing w:after="100" w:line="300" w:lineRule="auto"/>
        <w:jc w:val="both"/>
        <w:rPr>
          <w:color w:val="000000" w:themeColor="text1"/>
        </w:rPr>
      </w:pPr>
      <w:r w:rsidRPr="00154413">
        <w:rPr>
          <w:color w:val="000000" w:themeColor="text1"/>
          <w:sz w:val="24"/>
          <w:szCs w:val="24"/>
        </w:rPr>
        <w:t>24 August 2017 - The 9-judge bench delivered a unanimous judgment, holding that privacy is indeed a fundamental right, and overruling the earlier judgments that had said otherwise.</w:t>
      </w:r>
    </w:p>
    <w:p w14:paraId="343D588C" w14:textId="77777777" w:rsidR="004E00D0" w:rsidRPr="00154413" w:rsidRDefault="00000000">
      <w:pPr>
        <w:pStyle w:val="ListParagraph"/>
        <w:numPr>
          <w:ilvl w:val="0"/>
          <w:numId w:val="1"/>
        </w:numPr>
        <w:spacing w:after="100" w:line="300" w:lineRule="auto"/>
        <w:jc w:val="both"/>
        <w:rPr>
          <w:color w:val="000000" w:themeColor="text1"/>
        </w:rPr>
      </w:pPr>
      <w:r w:rsidRPr="00154413">
        <w:rPr>
          <w:color w:val="000000" w:themeColor="text1"/>
          <w:sz w:val="24"/>
          <w:szCs w:val="24"/>
        </w:rPr>
        <w:t>Following this, the specific question of whether the Aadhaar Act itself was constitutionally valid was sent to a smaller 5-judge bench, which in 2018 upheld the use of Aadhaar for government welfare schemes but struck down provisions allowing private companies (like banks and telecom providers) to demand Aadhaar details from customers.</w:t>
      </w:r>
    </w:p>
    <w:p w14:paraId="307AD47E" w14:textId="77777777" w:rsidR="004E00D0" w:rsidRPr="00154413" w:rsidRDefault="00000000">
      <w:pPr>
        <w:keepNext/>
        <w:spacing w:before="240" w:after="120"/>
        <w:rPr>
          <w:color w:val="000000" w:themeColor="text1"/>
        </w:rPr>
      </w:pPr>
      <w:r w:rsidRPr="00154413">
        <w:rPr>
          <w:b/>
          <w:bCs/>
          <w:color w:val="000000" w:themeColor="text1"/>
          <w:sz w:val="24"/>
          <w:szCs w:val="24"/>
        </w:rPr>
        <w:t>2.2 Material Commercial Context</w:t>
      </w:r>
    </w:p>
    <w:p w14:paraId="7336B33F" w14:textId="77777777" w:rsidR="004E00D0" w:rsidRPr="00154413" w:rsidRDefault="00000000">
      <w:pPr>
        <w:spacing w:after="160" w:line="300" w:lineRule="auto"/>
        <w:jc w:val="both"/>
        <w:rPr>
          <w:color w:val="000000" w:themeColor="text1"/>
        </w:rPr>
      </w:pPr>
      <w:r w:rsidRPr="00154413">
        <w:rPr>
          <w:color w:val="000000" w:themeColor="text1"/>
          <w:sz w:val="24"/>
          <w:szCs w:val="24"/>
        </w:rPr>
        <w:t>While this case is fundamentally about constitutional rights, it has massive commercial relevance, since Aadhaar had become deeply linked with everyday financial and commercial transactions in India - from opening bank accounts and getting SIM cards, to receiving government subsidies and filing taxes. The case forced a rethink of how much personal and biometric data private companies, especially banks, telecom providers, and fintech platforms, could demand from customers, and highlighted the importance of building trustworthy, secure systems wherever sensitive personal data is collected and stored.</w:t>
      </w:r>
    </w:p>
    <w:p w14:paraId="1487710C" w14:textId="77777777" w:rsidR="004E00D0" w:rsidRPr="00154413" w:rsidRDefault="00000000">
      <w:pPr>
        <w:keepNext/>
        <w:pBdr>
          <w:bottom w:val="single" w:sz="6" w:space="4" w:color="1F3864"/>
        </w:pBdr>
        <w:spacing w:before="400" w:after="200"/>
        <w:rPr>
          <w:color w:val="000000" w:themeColor="text1"/>
        </w:rPr>
      </w:pPr>
      <w:r w:rsidRPr="00154413">
        <w:rPr>
          <w:b/>
          <w:bCs/>
          <w:color w:val="000000" w:themeColor="text1"/>
          <w:sz w:val="28"/>
          <w:szCs w:val="28"/>
        </w:rPr>
        <w:t>3. Legal Issue</w:t>
      </w:r>
    </w:p>
    <w:p w14:paraId="2B08A843" w14:textId="77777777" w:rsidR="004E00D0" w:rsidRPr="00154413" w:rsidRDefault="00000000">
      <w:pPr>
        <w:keepNext/>
        <w:spacing w:before="240" w:after="120"/>
        <w:rPr>
          <w:color w:val="000000" w:themeColor="text1"/>
        </w:rPr>
      </w:pPr>
      <w:r w:rsidRPr="00154413">
        <w:rPr>
          <w:b/>
          <w:bCs/>
          <w:color w:val="000000" w:themeColor="text1"/>
          <w:sz w:val="24"/>
          <w:szCs w:val="24"/>
        </w:rPr>
        <w:t>3.1 Primary Question of Law</w:t>
      </w:r>
    </w:p>
    <w:p w14:paraId="062BD016" w14:textId="77777777" w:rsidR="004E00D0" w:rsidRPr="00154413" w:rsidRDefault="00000000">
      <w:pPr>
        <w:spacing w:after="160" w:line="300" w:lineRule="auto"/>
        <w:jc w:val="both"/>
        <w:rPr>
          <w:color w:val="000000" w:themeColor="text1"/>
        </w:rPr>
      </w:pPr>
      <w:r w:rsidRPr="00154413">
        <w:rPr>
          <w:color w:val="000000" w:themeColor="text1"/>
          <w:sz w:val="24"/>
          <w:szCs w:val="24"/>
        </w:rPr>
        <w:t>Simply put: does the Indian Constitution protect the right to privacy as a fundamental right, even though it is not explicitly written out in the Constitution's list of fundamental rights? And if the government collects and stores citizens' personal and biometric data (like under Aadhaar), does this need to meet a certain standard to avoid violating that right?</w:t>
      </w:r>
    </w:p>
    <w:p w14:paraId="59DA82E1" w14:textId="77777777" w:rsidR="004E00D0" w:rsidRPr="00154413" w:rsidRDefault="00000000">
      <w:pPr>
        <w:keepNext/>
        <w:spacing w:before="240" w:after="120"/>
        <w:rPr>
          <w:color w:val="000000" w:themeColor="text1"/>
        </w:rPr>
      </w:pPr>
      <w:r w:rsidRPr="00154413">
        <w:rPr>
          <w:b/>
          <w:bCs/>
          <w:color w:val="000000" w:themeColor="text1"/>
          <w:sz w:val="24"/>
          <w:szCs w:val="24"/>
        </w:rPr>
        <w:t>3.2 Points of Contention</w:t>
      </w:r>
    </w:p>
    <w:p w14:paraId="2EDBD5FE" w14:textId="77777777" w:rsidR="004E00D0" w:rsidRPr="00154413" w:rsidRDefault="00000000">
      <w:pPr>
        <w:spacing w:after="160" w:line="300" w:lineRule="auto"/>
        <w:jc w:val="both"/>
        <w:rPr>
          <w:color w:val="000000" w:themeColor="text1"/>
        </w:rPr>
      </w:pPr>
      <w:r w:rsidRPr="00154413">
        <w:rPr>
          <w:b/>
          <w:bCs/>
          <w:color w:val="000000" w:themeColor="text1"/>
          <w:sz w:val="24"/>
          <w:szCs w:val="24"/>
        </w:rPr>
        <w:t xml:space="preserve">Justice Puttaswamy's Side (the Petitioners): </w:t>
      </w:r>
      <w:r w:rsidRPr="00154413">
        <w:rPr>
          <w:color w:val="000000" w:themeColor="text1"/>
          <w:sz w:val="24"/>
          <w:szCs w:val="24"/>
        </w:rPr>
        <w:t>It was argued that privacy is a natural and inseparable part of human dignity and personal liberty, and should be read as part of the right to life and personal liberty under Article 21. The petitioners warned that collecting biometric data on such a massive, centralised scale created a real risk of mass surveillance and large-scale data leaks, and that forcing citizens to give up their fingerprints and iris scans intruded on their bodily autonomy and control over their own personal information.</w:t>
      </w:r>
    </w:p>
    <w:p w14:paraId="42AD4C76" w14:textId="77777777" w:rsidR="004E00D0" w:rsidRPr="00154413" w:rsidRDefault="00000000">
      <w:pPr>
        <w:spacing w:after="160" w:line="300" w:lineRule="auto"/>
        <w:jc w:val="both"/>
        <w:rPr>
          <w:color w:val="000000" w:themeColor="text1"/>
        </w:rPr>
      </w:pPr>
      <w:r w:rsidRPr="00154413">
        <w:rPr>
          <w:b/>
          <w:bCs/>
          <w:color w:val="000000" w:themeColor="text1"/>
          <w:sz w:val="24"/>
          <w:szCs w:val="24"/>
        </w:rPr>
        <w:lastRenderedPageBreak/>
        <w:t xml:space="preserve">The Government's Side (Union of India): </w:t>
      </w:r>
      <w:r w:rsidRPr="00154413">
        <w:rPr>
          <w:color w:val="000000" w:themeColor="text1"/>
          <w:sz w:val="24"/>
          <w:szCs w:val="24"/>
        </w:rPr>
        <w:t>It was argued that the makers of the Constitution deliberately chose not to include a specific right to privacy in the list of fundamental rights, so courts should not read it in artificially. The government also argued that privacy, even if it exists, is not more important than the state's duty to deliver welfare benefits efficiently to poor and marginalised citizens, and that Aadhaar helped ensure that only genuine beneficiaries received rations and subsidies. It further argued that the biometric data collected was strictly used for verifying identity, and that UIDAI had put in place a secure, multi-layered system to protect this data.</w:t>
      </w:r>
    </w:p>
    <w:p w14:paraId="0D5B26E2" w14:textId="77777777" w:rsidR="004E00D0" w:rsidRPr="00154413" w:rsidRDefault="00000000">
      <w:pPr>
        <w:keepNext/>
        <w:pBdr>
          <w:bottom w:val="single" w:sz="6" w:space="4" w:color="1F3864"/>
        </w:pBdr>
        <w:spacing w:before="400" w:after="200"/>
        <w:rPr>
          <w:color w:val="000000" w:themeColor="text1"/>
        </w:rPr>
      </w:pPr>
      <w:r w:rsidRPr="00154413">
        <w:rPr>
          <w:b/>
          <w:bCs/>
          <w:color w:val="000000" w:themeColor="text1"/>
          <w:sz w:val="28"/>
          <w:szCs w:val="28"/>
        </w:rPr>
        <w:t>4. Judgment</w:t>
      </w:r>
    </w:p>
    <w:p w14:paraId="7CEF61AC" w14:textId="77777777" w:rsidR="004E00D0" w:rsidRPr="00154413" w:rsidRDefault="00000000">
      <w:pPr>
        <w:keepNext/>
        <w:spacing w:before="240" w:after="120"/>
        <w:rPr>
          <w:color w:val="000000" w:themeColor="text1"/>
        </w:rPr>
      </w:pPr>
      <w:r w:rsidRPr="00154413">
        <w:rPr>
          <w:b/>
          <w:bCs/>
          <w:color w:val="000000" w:themeColor="text1"/>
          <w:sz w:val="24"/>
          <w:szCs w:val="24"/>
        </w:rPr>
        <w:t>4.1 Court's Decision</w:t>
      </w:r>
    </w:p>
    <w:p w14:paraId="0682FED2" w14:textId="77777777" w:rsidR="004E00D0" w:rsidRPr="00154413" w:rsidRDefault="00000000">
      <w:pPr>
        <w:spacing w:after="160" w:line="300" w:lineRule="auto"/>
        <w:jc w:val="both"/>
        <w:rPr>
          <w:color w:val="000000" w:themeColor="text1"/>
        </w:rPr>
      </w:pPr>
      <w:r w:rsidRPr="00154413">
        <w:rPr>
          <w:color w:val="000000" w:themeColor="text1"/>
          <w:sz w:val="24"/>
          <w:szCs w:val="24"/>
        </w:rPr>
        <w:t>Justice Puttaswamy and the petitioners won on the core constitutional question. The 9-judge bench unanimously held that the right to privacy is a fundamental right, protected under Article 21 (Right to Life and Personal Liberty) and other freedoms guaranteed under Part III of the Constitution. The Court explicitly overruled the older judgments that had denied this protection.</w:t>
      </w:r>
    </w:p>
    <w:p w14:paraId="6A76712A" w14:textId="77777777" w:rsidR="004E00D0" w:rsidRPr="00154413" w:rsidRDefault="00000000">
      <w:pPr>
        <w:keepNext/>
        <w:spacing w:before="240" w:after="120"/>
        <w:rPr>
          <w:color w:val="000000" w:themeColor="text1"/>
        </w:rPr>
      </w:pPr>
      <w:r w:rsidRPr="00154413">
        <w:rPr>
          <w:b/>
          <w:bCs/>
          <w:color w:val="000000" w:themeColor="text1"/>
          <w:sz w:val="24"/>
          <w:szCs w:val="24"/>
        </w:rPr>
        <w:t>4.2 Ratio Decidendi (Judicial Reasoning)</w:t>
      </w:r>
    </w:p>
    <w:p w14:paraId="5CE03EE8" w14:textId="77777777" w:rsidR="004E00D0" w:rsidRPr="00154413" w:rsidRDefault="00000000">
      <w:pPr>
        <w:spacing w:after="160" w:line="300" w:lineRule="auto"/>
        <w:jc w:val="both"/>
        <w:rPr>
          <w:color w:val="000000" w:themeColor="text1"/>
        </w:rPr>
      </w:pPr>
      <w:r w:rsidRPr="00154413">
        <w:rPr>
          <w:color w:val="000000" w:themeColor="text1"/>
          <w:sz w:val="24"/>
          <w:szCs w:val="24"/>
        </w:rPr>
        <w:t>The 9-judge bench explained that privacy is not some separate, standalone concept - it is deeply woven into a person's dignity, autonomy, and the right to live freely, which are already protected under Article 21. The Court held that just because the word 'privacy' does not appear directly in the Constitution's text does not mean it is any less protected; many fundamental rights are understood to include related, unstated protections that are essential to make the main right meaningful. The judges identified three key aspects that privacy covers: protection of a person's own body from unwanted intrusion (bodily privacy), control over one's personal information and how it is shared or used (informational privacy), and the freedom to make personal life choices without unnecessary interference (privacy of choice). At the same time, the Court made clear that privacy, like most fundamental rights, is not absolute - the government can restrict it, but only if it passes what is called the doctrine of proportionality. This test requires that any such restriction must be backed by a valid law, must serve a genuine and important public purpose, must not go further than necessary to achieve that purpose, and must include proper safeguards to prevent misuse. By setting up this test, the Court balanced two important interests: protecting citizens from unnecessary intrusion into their personal lives, while still allowing the government some room to collect and use data for legitimate purposes, like efficiently delivering welfare schemes, as long as it is done carefully and lawfully.</w:t>
      </w:r>
    </w:p>
    <w:p w14:paraId="21DA44A4" w14:textId="77777777" w:rsidR="004E00D0" w:rsidRPr="00154413" w:rsidRDefault="00000000">
      <w:pPr>
        <w:spacing w:after="160" w:line="300" w:lineRule="auto"/>
        <w:jc w:val="both"/>
        <w:rPr>
          <w:color w:val="000000" w:themeColor="text1"/>
        </w:rPr>
      </w:pPr>
      <w:r w:rsidRPr="00154413">
        <w:rPr>
          <w:color w:val="000000" w:themeColor="text1"/>
          <w:sz w:val="24"/>
          <w:szCs w:val="24"/>
        </w:rPr>
        <w:lastRenderedPageBreak/>
        <w:t>In short: the court said privacy is a fundamental right built into the right to life and personal liberty, and any government action that limits this right must be lawful, necessary, proportionate, and backed by real safeguards against misuse.</w:t>
      </w:r>
    </w:p>
    <w:p w14:paraId="4D8812CE" w14:textId="77777777" w:rsidR="004E00D0" w:rsidRPr="00154413" w:rsidRDefault="00000000">
      <w:pPr>
        <w:keepNext/>
        <w:pBdr>
          <w:bottom w:val="single" w:sz="6" w:space="4" w:color="1F3864"/>
        </w:pBdr>
        <w:spacing w:before="400" w:after="200"/>
        <w:rPr>
          <w:color w:val="000000" w:themeColor="text1"/>
        </w:rPr>
      </w:pPr>
      <w:r w:rsidRPr="00154413">
        <w:rPr>
          <w:b/>
          <w:bCs/>
          <w:color w:val="000000" w:themeColor="text1"/>
          <w:sz w:val="28"/>
          <w:szCs w:val="28"/>
        </w:rPr>
        <w:t>5. Legal Principle: Contract Formation Analysis</w:t>
      </w:r>
    </w:p>
    <w:p w14:paraId="784650C2" w14:textId="77777777" w:rsidR="004E00D0" w:rsidRPr="00154413" w:rsidRDefault="00000000">
      <w:pPr>
        <w:keepNext/>
        <w:spacing w:before="240" w:after="120"/>
        <w:rPr>
          <w:color w:val="000000" w:themeColor="text1"/>
        </w:rPr>
      </w:pPr>
      <w:r w:rsidRPr="00154413">
        <w:rPr>
          <w:b/>
          <w:bCs/>
          <w:color w:val="000000" w:themeColor="text1"/>
          <w:sz w:val="24"/>
          <w:szCs w:val="24"/>
        </w:rPr>
        <w:t>5.1 Evaluation of a Valid Offer</w:t>
      </w:r>
    </w:p>
    <w:p w14:paraId="3C952035" w14:textId="77777777" w:rsidR="004E00D0" w:rsidRPr="00154413" w:rsidRDefault="00000000">
      <w:pPr>
        <w:spacing w:after="160" w:line="300" w:lineRule="auto"/>
        <w:jc w:val="both"/>
        <w:rPr>
          <w:color w:val="000000" w:themeColor="text1"/>
        </w:rPr>
      </w:pPr>
      <w:r w:rsidRPr="00154413">
        <w:rPr>
          <w:color w:val="000000" w:themeColor="text1"/>
          <w:sz w:val="24"/>
          <w:szCs w:val="24"/>
        </w:rPr>
        <w:t>This case does not involve a contract between two private parties in the traditional sense, since it is a constitutional matter about the relationship between citizens and the state. However, drawing a useful comparison, just as a valid offer in contract law must be clear and properly made to have legal effect, the Court's reasoning suggests that any government scheme asking citizens to part with sensitive personal information (like Aadhaar's biometric data) must be backed by a valid, clearly defined law - almost like a properly made 'offer' of terms - rather than being introduced through vague executive action without clear legal grounding or citizen consent.</w:t>
      </w:r>
    </w:p>
    <w:p w14:paraId="4001634D" w14:textId="77777777" w:rsidR="004E00D0" w:rsidRPr="00154413" w:rsidRDefault="00000000">
      <w:pPr>
        <w:keepNext/>
        <w:spacing w:before="240" w:after="120"/>
        <w:rPr>
          <w:color w:val="000000" w:themeColor="text1"/>
        </w:rPr>
      </w:pPr>
      <w:r w:rsidRPr="00154413">
        <w:rPr>
          <w:b/>
          <w:bCs/>
          <w:color w:val="000000" w:themeColor="text1"/>
          <w:sz w:val="24"/>
          <w:szCs w:val="24"/>
        </w:rPr>
        <w:t>5.2 Mechanics of Acceptance</w:t>
      </w:r>
    </w:p>
    <w:p w14:paraId="104B56D8" w14:textId="77777777" w:rsidR="004E00D0" w:rsidRPr="00154413" w:rsidRDefault="00000000">
      <w:pPr>
        <w:spacing w:after="160" w:line="300" w:lineRule="auto"/>
        <w:jc w:val="both"/>
        <w:rPr>
          <w:color w:val="000000" w:themeColor="text1"/>
        </w:rPr>
      </w:pPr>
      <w:r w:rsidRPr="00154413">
        <w:rPr>
          <w:color w:val="000000" w:themeColor="text1"/>
          <w:sz w:val="24"/>
          <w:szCs w:val="24"/>
        </w:rPr>
        <w:t>Again, there is no formal 'acceptance' between two contracting parties here, but the case does raise an important, related idea: citizens providing their biometric data to the government (or to private companies through mandatory linking) is not the same as freely and meaningfully consenting to its use, especially when there is no real choice involved. The Court's later decision to strike down provisions letting private companies demand Aadhaar data reflects this same underlying concern - that genuine consent requires a real choice, not just technical compliance with a mandatory system, echoing how a valid acceptance in contract law must be free and voluntary, not forced or automatic.</w:t>
      </w:r>
    </w:p>
    <w:p w14:paraId="354F5617" w14:textId="77777777" w:rsidR="004E00D0" w:rsidRPr="00154413" w:rsidRDefault="00000000">
      <w:pPr>
        <w:keepNext/>
        <w:spacing w:before="240" w:after="120"/>
        <w:rPr>
          <w:color w:val="000000" w:themeColor="text1"/>
        </w:rPr>
      </w:pPr>
      <w:r w:rsidRPr="00154413">
        <w:rPr>
          <w:b/>
          <w:bCs/>
          <w:color w:val="000000" w:themeColor="text1"/>
          <w:sz w:val="24"/>
          <w:szCs w:val="24"/>
        </w:rPr>
        <w:t>5.3 Ancillary Pillars of Formation</w:t>
      </w:r>
    </w:p>
    <w:p w14:paraId="3FA67DFB" w14:textId="77777777" w:rsidR="004E00D0" w:rsidRPr="00154413" w:rsidRDefault="00000000">
      <w:pPr>
        <w:spacing w:after="160" w:line="300" w:lineRule="auto"/>
        <w:jc w:val="both"/>
        <w:rPr>
          <w:color w:val="000000" w:themeColor="text1"/>
        </w:rPr>
      </w:pPr>
      <w:r w:rsidRPr="00154413">
        <w:rPr>
          <w:b/>
          <w:bCs/>
          <w:color w:val="000000" w:themeColor="text1"/>
          <w:sz w:val="24"/>
          <w:szCs w:val="24"/>
        </w:rPr>
        <w:t xml:space="preserve">Right to Privacy as a Fundamental Right: </w:t>
      </w:r>
      <w:r w:rsidRPr="00154413">
        <w:rPr>
          <w:color w:val="000000" w:themeColor="text1"/>
          <w:sz w:val="24"/>
          <w:szCs w:val="24"/>
        </w:rPr>
        <w:t>This is the single most important principle established by this case. By recognising privacy as intrinsic to Article 21, the Court ensured that any law or government action affecting personal data or bodily autonomy must now be tested against strong constitutional protections, not treated as a mere policy choice.</w:t>
      </w:r>
    </w:p>
    <w:p w14:paraId="713BE6EA" w14:textId="77777777" w:rsidR="004E00D0" w:rsidRPr="00154413" w:rsidRDefault="00000000">
      <w:pPr>
        <w:spacing w:after="160" w:line="300" w:lineRule="auto"/>
        <w:jc w:val="both"/>
        <w:rPr>
          <w:color w:val="000000" w:themeColor="text1"/>
        </w:rPr>
      </w:pPr>
      <w:r w:rsidRPr="00154413">
        <w:rPr>
          <w:b/>
          <w:bCs/>
          <w:color w:val="000000" w:themeColor="text1"/>
          <w:sz w:val="24"/>
          <w:szCs w:val="24"/>
        </w:rPr>
        <w:t xml:space="preserve">Doctrine of Proportionality: </w:t>
      </w:r>
      <w:r w:rsidRPr="00154413">
        <w:rPr>
          <w:color w:val="000000" w:themeColor="text1"/>
          <w:sz w:val="24"/>
          <w:szCs w:val="24"/>
        </w:rPr>
        <w:t>This is the practical test the Court laid down to balance privacy against legitimate state interests. It requires legality (backed by valid law), a legitimate goal (like national security or welfare delivery), proportionality (no less restrictive alternative available), and procedural safeguards (protection against misuse). This four-part test is now used to judge almost every government action that touches personal privacy or data collection in India.</w:t>
      </w:r>
    </w:p>
    <w:p w14:paraId="22168BF5" w14:textId="77777777" w:rsidR="004E00D0" w:rsidRPr="00154413" w:rsidRDefault="00000000">
      <w:pPr>
        <w:keepNext/>
        <w:pBdr>
          <w:bottom w:val="single" w:sz="6" w:space="4" w:color="1F3864"/>
        </w:pBdr>
        <w:spacing w:before="400" w:after="200"/>
        <w:rPr>
          <w:color w:val="000000" w:themeColor="text1"/>
        </w:rPr>
      </w:pPr>
      <w:r w:rsidRPr="00154413">
        <w:rPr>
          <w:b/>
          <w:bCs/>
          <w:color w:val="000000" w:themeColor="text1"/>
          <w:sz w:val="28"/>
          <w:szCs w:val="28"/>
        </w:rPr>
        <w:lastRenderedPageBreak/>
        <w:t>6. Business Relevance</w:t>
      </w:r>
    </w:p>
    <w:p w14:paraId="5603EDAD" w14:textId="77777777" w:rsidR="004E00D0" w:rsidRPr="00154413" w:rsidRDefault="00000000">
      <w:pPr>
        <w:keepNext/>
        <w:spacing w:before="240" w:after="120"/>
        <w:rPr>
          <w:color w:val="000000" w:themeColor="text1"/>
        </w:rPr>
      </w:pPr>
      <w:r w:rsidRPr="00154413">
        <w:rPr>
          <w:b/>
          <w:bCs/>
          <w:color w:val="000000" w:themeColor="text1"/>
          <w:sz w:val="24"/>
          <w:szCs w:val="24"/>
        </w:rPr>
        <w:t>6.1 Application in Modern Business</w:t>
      </w:r>
    </w:p>
    <w:p w14:paraId="6FC1DE1C" w14:textId="77777777" w:rsidR="004E00D0" w:rsidRPr="00154413" w:rsidRDefault="00000000">
      <w:pPr>
        <w:spacing w:after="160" w:line="300" w:lineRule="auto"/>
        <w:jc w:val="both"/>
        <w:rPr>
          <w:color w:val="000000" w:themeColor="text1"/>
        </w:rPr>
      </w:pPr>
      <w:r w:rsidRPr="00154413">
        <w:rPr>
          <w:color w:val="000000" w:themeColor="text1"/>
          <w:sz w:val="24"/>
          <w:szCs w:val="24"/>
        </w:rPr>
        <w:t>This judgment is the foundation of India's entire modern approach to data privacy and protection, and is hugely relevant to banks, fintech companies, and any business that collects, stores, or processes personal data. It directly led to important changes, such as banning private companies like banks and telecom providers from mandatorily demanding Aadhaar data from customers, and it paved the way for India's Digital Personal Data Protection Act, which lays out clear rules for how businesses must collect, use, and protect personal data. For fintech companies especially, which routinely collect sensitive financial and identity information (like PAN details, bank account numbers, and KYC documents), this case set the constitutional foundation requiring that any data collection be lawful, necessary, proportionate to its purpose, and backed by strong safeguards against misuse or leaks.</w:t>
      </w:r>
    </w:p>
    <w:p w14:paraId="7B72D752" w14:textId="77777777" w:rsidR="004E00D0" w:rsidRPr="00154413" w:rsidRDefault="00000000">
      <w:pPr>
        <w:keepNext/>
        <w:spacing w:before="240" w:after="120"/>
        <w:rPr>
          <w:color w:val="000000" w:themeColor="text1"/>
        </w:rPr>
      </w:pPr>
      <w:r w:rsidRPr="00154413">
        <w:rPr>
          <w:b/>
          <w:bCs/>
          <w:color w:val="000000" w:themeColor="text1"/>
          <w:sz w:val="24"/>
          <w:szCs w:val="24"/>
        </w:rPr>
        <w:t>6.2 Risk Management &amp; Operational Compliance</w:t>
      </w:r>
    </w:p>
    <w:p w14:paraId="7FBB6E6E" w14:textId="77777777" w:rsidR="004E00D0" w:rsidRPr="00154413" w:rsidRDefault="00000000">
      <w:pPr>
        <w:pStyle w:val="ListParagraph"/>
        <w:numPr>
          <w:ilvl w:val="0"/>
          <w:numId w:val="1"/>
        </w:numPr>
        <w:spacing w:after="100" w:line="300" w:lineRule="auto"/>
        <w:jc w:val="both"/>
        <w:rPr>
          <w:color w:val="000000" w:themeColor="text1"/>
        </w:rPr>
      </w:pPr>
      <w:r w:rsidRPr="00154413">
        <w:rPr>
          <w:color w:val="000000" w:themeColor="text1"/>
          <w:sz w:val="24"/>
          <w:szCs w:val="24"/>
        </w:rPr>
        <w:t>Businesses, especially fintech and banking companies, should collect only the personal data that is genuinely necessary for their specific purpose, rather than gathering excessive information 'just in case'.</w:t>
      </w:r>
    </w:p>
    <w:p w14:paraId="548865B9" w14:textId="77777777" w:rsidR="004E00D0" w:rsidRPr="00154413" w:rsidRDefault="00000000">
      <w:pPr>
        <w:pStyle w:val="ListParagraph"/>
        <w:numPr>
          <w:ilvl w:val="0"/>
          <w:numId w:val="1"/>
        </w:numPr>
        <w:spacing w:after="100" w:line="300" w:lineRule="auto"/>
        <w:jc w:val="both"/>
        <w:rPr>
          <w:color w:val="000000" w:themeColor="text1"/>
        </w:rPr>
      </w:pPr>
      <w:r w:rsidRPr="00154413">
        <w:rPr>
          <w:color w:val="000000" w:themeColor="text1"/>
          <w:sz w:val="24"/>
          <w:szCs w:val="24"/>
        </w:rPr>
        <w:t>Companies should ensure that any collection of sensitive data (biometric, financial, or identity-related) is backed by clear legal authority and proper, informed consent from customers, rather than being made a mandatory precondition without real choice.</w:t>
      </w:r>
    </w:p>
    <w:p w14:paraId="0FB35C7A" w14:textId="77777777" w:rsidR="004E00D0" w:rsidRPr="00154413" w:rsidRDefault="00000000">
      <w:pPr>
        <w:pStyle w:val="ListParagraph"/>
        <w:numPr>
          <w:ilvl w:val="0"/>
          <w:numId w:val="1"/>
        </w:numPr>
        <w:spacing w:after="100" w:line="300" w:lineRule="auto"/>
        <w:jc w:val="both"/>
        <w:rPr>
          <w:color w:val="000000" w:themeColor="text1"/>
        </w:rPr>
      </w:pPr>
      <w:r w:rsidRPr="00154413">
        <w:rPr>
          <w:color w:val="000000" w:themeColor="text1"/>
          <w:sz w:val="24"/>
          <w:szCs w:val="24"/>
        </w:rPr>
        <w:t>Strong data security measures, such as encryption and multi-layered protection systems, should be implemented to prevent data breaches, since courts and regulators increasingly expect proportional safeguards wherever personal data is stored.</w:t>
      </w:r>
    </w:p>
    <w:p w14:paraId="6EEF67DE" w14:textId="77777777" w:rsidR="004E00D0" w:rsidRPr="00154413" w:rsidRDefault="00000000">
      <w:pPr>
        <w:pStyle w:val="ListParagraph"/>
        <w:numPr>
          <w:ilvl w:val="0"/>
          <w:numId w:val="1"/>
        </w:numPr>
        <w:spacing w:after="100" w:line="300" w:lineRule="auto"/>
        <w:jc w:val="both"/>
        <w:rPr>
          <w:color w:val="000000" w:themeColor="text1"/>
        </w:rPr>
      </w:pPr>
      <w:r w:rsidRPr="00154413">
        <w:rPr>
          <w:color w:val="000000" w:themeColor="text1"/>
          <w:sz w:val="24"/>
          <w:szCs w:val="24"/>
        </w:rPr>
        <w:t>Legal and compliance teams should stay updated on India's evolving data protection laws (which trace their roots directly back to this judgment), to ensure business practices around data collection and processing remain compliant.</w:t>
      </w:r>
    </w:p>
    <w:p w14:paraId="7170AEA6" w14:textId="77777777" w:rsidR="004E00D0" w:rsidRPr="00154413" w:rsidRDefault="00000000">
      <w:pPr>
        <w:pStyle w:val="ListParagraph"/>
        <w:numPr>
          <w:ilvl w:val="0"/>
          <w:numId w:val="1"/>
        </w:numPr>
        <w:spacing w:after="100" w:line="300" w:lineRule="auto"/>
        <w:jc w:val="both"/>
        <w:rPr>
          <w:color w:val="000000" w:themeColor="text1"/>
        </w:rPr>
      </w:pPr>
      <w:r w:rsidRPr="00154413">
        <w:rPr>
          <w:color w:val="000000" w:themeColor="text1"/>
          <w:sz w:val="24"/>
          <w:szCs w:val="24"/>
        </w:rPr>
        <w:t>Businesses should avoid demanding identity documents like Aadhaar as a blanket requirement for services, especially where the law does not mandate it, since courts have already struck down such practices by private entities in this very case.</w:t>
      </w:r>
    </w:p>
    <w:p w14:paraId="0AE91204" w14:textId="77777777" w:rsidR="004E00D0" w:rsidRPr="00154413" w:rsidRDefault="00000000">
      <w:pPr>
        <w:keepNext/>
        <w:pBdr>
          <w:bottom w:val="single" w:sz="6" w:space="4" w:color="1F3864"/>
        </w:pBdr>
        <w:spacing w:before="400" w:after="200"/>
        <w:rPr>
          <w:color w:val="000000" w:themeColor="text1"/>
        </w:rPr>
      </w:pPr>
      <w:r w:rsidRPr="00154413">
        <w:rPr>
          <w:b/>
          <w:bCs/>
          <w:color w:val="000000" w:themeColor="text1"/>
          <w:sz w:val="28"/>
          <w:szCs w:val="28"/>
        </w:rPr>
        <w:t>7. Conclusion</w:t>
      </w:r>
    </w:p>
    <w:p w14:paraId="2A64D2BC" w14:textId="77777777" w:rsidR="004E00D0" w:rsidRPr="00154413" w:rsidRDefault="00000000">
      <w:pPr>
        <w:keepNext/>
        <w:spacing w:before="240" w:after="120"/>
        <w:rPr>
          <w:color w:val="000000" w:themeColor="text1"/>
        </w:rPr>
      </w:pPr>
      <w:r w:rsidRPr="00154413">
        <w:rPr>
          <w:b/>
          <w:bCs/>
          <w:color w:val="000000" w:themeColor="text1"/>
          <w:sz w:val="24"/>
          <w:szCs w:val="24"/>
        </w:rPr>
        <w:t>7.1 Personal Learning and Observations</w:t>
      </w:r>
    </w:p>
    <w:p w14:paraId="78F5415F" w14:textId="77777777" w:rsidR="004E00D0" w:rsidRPr="00154413" w:rsidRDefault="00000000">
      <w:pPr>
        <w:spacing w:after="160" w:line="300" w:lineRule="auto"/>
        <w:jc w:val="both"/>
        <w:rPr>
          <w:color w:val="000000" w:themeColor="text1"/>
        </w:rPr>
      </w:pPr>
      <w:r w:rsidRPr="00154413">
        <w:rPr>
          <w:color w:val="000000" w:themeColor="text1"/>
          <w:sz w:val="24"/>
          <w:szCs w:val="24"/>
        </w:rPr>
        <w:t xml:space="preserve">Studying Justice K.S. Puttaswamy v. Union of India helped me understand how deeply connected privacy is to basic human dignity, even though the word itself is never mentioned directly in the </w:t>
      </w:r>
      <w:r w:rsidRPr="00154413">
        <w:rPr>
          <w:color w:val="000000" w:themeColor="text1"/>
          <w:sz w:val="24"/>
          <w:szCs w:val="24"/>
        </w:rPr>
        <w:lastRenderedPageBreak/>
        <w:t>Constitution's list of fundamental rights. I found it fascinating that a case which started with concerns about a national identity scheme ended up reshaping the entire understanding of personal liberty in India. This case also taught me the importance of the doctrine of proportionality - the idea that even a right as important as privacy is not absolute, but any restriction on it must be lawful, necessary, and properly safeguarded, which strikes a fair balance between individual rights and the government's genuine needs. As someone studying fintech, I found the business implications of this case especially relevant, since it directly shapes how companies today are allowed to collect and use customer data, and it reminded me that convenience and efficiency (like using Aadhaar for quick verification) should never come at the cost of a person's fundamental right to control their own personal information. Overall, this judgment stands as a powerful example of how constitutional law can adapt to protect people's rights in a rapidly digitising world.</w:t>
      </w:r>
    </w:p>
    <w:sectPr w:rsidR="004E00D0" w:rsidRPr="00154413" w:rsidSect="00154413">
      <w:headerReference w:type="default" r:id="rId7"/>
      <w:footerReference w:type="default" r:id="rId8"/>
      <w:pgSz w:w="12240" w:h="15840"/>
      <w:pgMar w:top="1440" w:right="1440" w:bottom="1440" w:left="1440" w:header="426"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6E7A97" w14:textId="77777777" w:rsidR="00BF7AE2" w:rsidRDefault="00BF7AE2">
      <w:r>
        <w:separator/>
      </w:r>
    </w:p>
  </w:endnote>
  <w:endnote w:type="continuationSeparator" w:id="0">
    <w:p w14:paraId="0B637E68" w14:textId="77777777" w:rsidR="00BF7AE2" w:rsidRDefault="00BF7A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B5BC3" w14:textId="77777777" w:rsidR="004E00D0"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154413">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CA3BB" w14:textId="77777777" w:rsidR="00BF7AE2" w:rsidRDefault="00BF7AE2">
      <w:r>
        <w:separator/>
      </w:r>
    </w:p>
  </w:footnote>
  <w:footnote w:type="continuationSeparator" w:id="0">
    <w:p w14:paraId="58C211D8" w14:textId="77777777" w:rsidR="00BF7AE2" w:rsidRDefault="00BF7A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42E2A" w14:textId="728C1156" w:rsidR="004E00D0" w:rsidRDefault="004E00D0">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AB2000"/>
    <w:multiLevelType w:val="hybridMultilevel"/>
    <w:tmpl w:val="14242BB4"/>
    <w:lvl w:ilvl="0" w:tplc="DEFE5EDE">
      <w:start w:val="1"/>
      <w:numFmt w:val="bullet"/>
      <w:lvlText w:val="●"/>
      <w:lvlJc w:val="left"/>
      <w:pPr>
        <w:ind w:left="720" w:hanging="360"/>
      </w:pPr>
    </w:lvl>
    <w:lvl w:ilvl="1" w:tplc="FF805F7C">
      <w:start w:val="1"/>
      <w:numFmt w:val="bullet"/>
      <w:lvlText w:val="○"/>
      <w:lvlJc w:val="left"/>
      <w:pPr>
        <w:ind w:left="1440" w:hanging="360"/>
      </w:pPr>
    </w:lvl>
    <w:lvl w:ilvl="2" w:tplc="88CED8CE">
      <w:start w:val="1"/>
      <w:numFmt w:val="bullet"/>
      <w:lvlText w:val="■"/>
      <w:lvlJc w:val="left"/>
      <w:pPr>
        <w:ind w:left="2160" w:hanging="360"/>
      </w:pPr>
    </w:lvl>
    <w:lvl w:ilvl="3" w:tplc="EE9ED14A">
      <w:start w:val="1"/>
      <w:numFmt w:val="bullet"/>
      <w:lvlText w:val="●"/>
      <w:lvlJc w:val="left"/>
      <w:pPr>
        <w:ind w:left="2880" w:hanging="360"/>
      </w:pPr>
    </w:lvl>
    <w:lvl w:ilvl="4" w:tplc="8A74FCBA">
      <w:start w:val="1"/>
      <w:numFmt w:val="bullet"/>
      <w:lvlText w:val="○"/>
      <w:lvlJc w:val="left"/>
      <w:pPr>
        <w:ind w:left="3600" w:hanging="360"/>
      </w:pPr>
    </w:lvl>
    <w:lvl w:ilvl="5" w:tplc="1D9AF7DA">
      <w:start w:val="1"/>
      <w:numFmt w:val="bullet"/>
      <w:lvlText w:val="■"/>
      <w:lvlJc w:val="left"/>
      <w:pPr>
        <w:ind w:left="4320" w:hanging="360"/>
      </w:pPr>
    </w:lvl>
    <w:lvl w:ilvl="6" w:tplc="01AC8CDC">
      <w:start w:val="1"/>
      <w:numFmt w:val="bullet"/>
      <w:lvlText w:val="●"/>
      <w:lvlJc w:val="left"/>
      <w:pPr>
        <w:ind w:left="5040" w:hanging="360"/>
      </w:pPr>
    </w:lvl>
    <w:lvl w:ilvl="7" w:tplc="5C163F60">
      <w:start w:val="1"/>
      <w:numFmt w:val="bullet"/>
      <w:lvlText w:val="●"/>
      <w:lvlJc w:val="left"/>
      <w:pPr>
        <w:ind w:left="5760" w:hanging="360"/>
      </w:pPr>
    </w:lvl>
    <w:lvl w:ilvl="8" w:tplc="A9F4747C">
      <w:start w:val="1"/>
      <w:numFmt w:val="bullet"/>
      <w:lvlText w:val="●"/>
      <w:lvlJc w:val="left"/>
      <w:pPr>
        <w:ind w:left="6480" w:hanging="360"/>
      </w:pPr>
    </w:lvl>
  </w:abstractNum>
  <w:num w:numId="1" w16cid:durableId="7444512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00D0"/>
    <w:rsid w:val="00154413"/>
    <w:rsid w:val="0019618D"/>
    <w:rsid w:val="004E00D0"/>
    <w:rsid w:val="00595620"/>
    <w:rsid w:val="00BF7A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9C7136"/>
  <w15:docId w15:val="{6A960A42-702F-4B65-9193-BCACD92EF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54413"/>
    <w:pPr>
      <w:tabs>
        <w:tab w:val="center" w:pos="4513"/>
        <w:tab w:val="right" w:pos="9026"/>
      </w:tabs>
    </w:pPr>
  </w:style>
  <w:style w:type="character" w:customStyle="1" w:styleId="HeaderChar">
    <w:name w:val="Header Char"/>
    <w:basedOn w:val="DefaultParagraphFont"/>
    <w:link w:val="Header"/>
    <w:uiPriority w:val="99"/>
    <w:rsid w:val="00154413"/>
  </w:style>
  <w:style w:type="paragraph" w:styleId="Footer">
    <w:name w:val="footer"/>
    <w:basedOn w:val="Normal"/>
    <w:link w:val="FooterChar"/>
    <w:uiPriority w:val="99"/>
    <w:unhideWhenUsed/>
    <w:rsid w:val="00154413"/>
    <w:pPr>
      <w:tabs>
        <w:tab w:val="center" w:pos="4513"/>
        <w:tab w:val="right" w:pos="9026"/>
      </w:tabs>
    </w:pPr>
  </w:style>
  <w:style w:type="character" w:customStyle="1" w:styleId="FooterChar">
    <w:name w:val="Footer Char"/>
    <w:basedOn w:val="DefaultParagraphFont"/>
    <w:link w:val="Footer"/>
    <w:uiPriority w:val="99"/>
    <w:rsid w:val="001544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2052</Words>
  <Characters>11697</Characters>
  <Application>Microsoft Office Word</Application>
  <DocSecurity>0</DocSecurity>
  <Lines>97</Lines>
  <Paragraphs>27</Paragraphs>
  <ScaleCrop>false</ScaleCrop>
  <Company/>
  <LinksUpToDate>false</LinksUpToDate>
  <CharactersWithSpaces>13722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Pavithran D</cp:lastModifiedBy>
  <cp:revision>3</cp:revision>
  <dcterms:created xsi:type="dcterms:W3CDTF">2026-09-15T08:17:00Z</dcterms:created>
  <dcterms:modified xsi:type="dcterms:W3CDTF">2026-09-15T08:17:00Z</dcterms:modified>
</cp:coreProperties>
</file>