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A628E" w14:textId="77777777" w:rsidR="00160E67" w:rsidRPr="00013C6E" w:rsidRDefault="00160E67">
      <w:pPr>
        <w:spacing w:before="2400"/>
        <w:rPr>
          <w:color w:val="000000" w:themeColor="text1"/>
        </w:rPr>
      </w:pPr>
    </w:p>
    <w:p w14:paraId="60C3EBD4" w14:textId="77777777" w:rsidR="00160E67" w:rsidRPr="00013C6E" w:rsidRDefault="00000000">
      <w:pPr>
        <w:spacing w:after="400"/>
        <w:jc w:val="center"/>
        <w:rPr>
          <w:color w:val="000000" w:themeColor="text1"/>
        </w:rPr>
      </w:pPr>
      <w:r w:rsidRPr="00013C6E">
        <w:rPr>
          <w:b/>
          <w:bCs/>
          <w:color w:val="000000" w:themeColor="text1"/>
          <w:sz w:val="40"/>
          <w:szCs w:val="40"/>
        </w:rPr>
        <w:t>CASE ANALYSIS REPORT</w:t>
      </w:r>
    </w:p>
    <w:p w14:paraId="573B02CC" w14:textId="77777777" w:rsidR="00160E67" w:rsidRPr="00013C6E" w:rsidRDefault="00000000">
      <w:pPr>
        <w:spacing w:after="1600"/>
        <w:jc w:val="center"/>
        <w:rPr>
          <w:color w:val="000000" w:themeColor="text1"/>
        </w:rPr>
      </w:pPr>
      <w:r w:rsidRPr="00013C6E">
        <w:rPr>
          <w:i/>
          <w:iCs/>
          <w:color w:val="000000" w:themeColor="text1"/>
          <w:sz w:val="28"/>
          <w:szCs w:val="28"/>
        </w:rPr>
        <w:t>ICICI Bank Ltd. v. Shanti Devi Sharma &amp; Ors. (2008)</w:t>
      </w:r>
    </w:p>
    <w:p w14:paraId="0DE743B3" w14:textId="51205A74" w:rsidR="00160E67" w:rsidRPr="00013C6E" w:rsidRDefault="00000000">
      <w:pPr>
        <w:spacing w:after="200"/>
        <w:jc w:val="center"/>
        <w:rPr>
          <w:color w:val="000000" w:themeColor="text1"/>
        </w:rPr>
      </w:pPr>
      <w:r w:rsidRPr="00013C6E">
        <w:rPr>
          <w:color w:val="000000" w:themeColor="text1"/>
          <w:sz w:val="26"/>
          <w:szCs w:val="26"/>
        </w:rPr>
        <w:t>Student Name: Pavithran</w:t>
      </w:r>
      <w:r w:rsidR="00013C6E">
        <w:rPr>
          <w:color w:val="000000" w:themeColor="text1"/>
          <w:sz w:val="26"/>
          <w:szCs w:val="26"/>
        </w:rPr>
        <w:t xml:space="preserve"> d</w:t>
      </w:r>
    </w:p>
    <w:p w14:paraId="7C1CD99A" w14:textId="404413E2" w:rsidR="00160E67" w:rsidRPr="00013C6E" w:rsidRDefault="00000000">
      <w:pPr>
        <w:spacing w:after="200"/>
        <w:jc w:val="center"/>
        <w:rPr>
          <w:color w:val="000000" w:themeColor="text1"/>
        </w:rPr>
      </w:pPr>
      <w:r w:rsidRPr="00013C6E">
        <w:rPr>
          <w:color w:val="000000" w:themeColor="text1"/>
          <w:sz w:val="26"/>
          <w:szCs w:val="26"/>
        </w:rPr>
        <w:t xml:space="preserve">Register Number: </w:t>
      </w:r>
      <w:r w:rsidR="00013C6E">
        <w:rPr>
          <w:color w:val="000000" w:themeColor="text1"/>
          <w:sz w:val="26"/>
          <w:szCs w:val="26"/>
        </w:rPr>
        <w:t>5272510215</w:t>
      </w:r>
    </w:p>
    <w:p w14:paraId="79D4F642" w14:textId="15598C1C" w:rsidR="00160E67" w:rsidRPr="00013C6E" w:rsidRDefault="00000000">
      <w:pPr>
        <w:spacing w:after="200"/>
        <w:jc w:val="center"/>
        <w:rPr>
          <w:color w:val="000000" w:themeColor="text1"/>
        </w:rPr>
      </w:pPr>
      <w:r w:rsidRPr="00013C6E">
        <w:rPr>
          <w:color w:val="000000" w:themeColor="text1"/>
          <w:sz w:val="26"/>
          <w:szCs w:val="26"/>
        </w:rPr>
        <w:t>Course: B.</w:t>
      </w:r>
      <w:r w:rsidR="00013C6E">
        <w:rPr>
          <w:color w:val="000000" w:themeColor="text1"/>
          <w:sz w:val="26"/>
          <w:szCs w:val="26"/>
        </w:rPr>
        <w:t xml:space="preserve"> </w:t>
      </w:r>
      <w:r w:rsidRPr="00013C6E">
        <w:rPr>
          <w:color w:val="000000" w:themeColor="text1"/>
          <w:sz w:val="26"/>
          <w:szCs w:val="26"/>
        </w:rPr>
        <w:t>Com (FinTech with AI)</w:t>
      </w:r>
    </w:p>
    <w:p w14:paraId="41A2CC64" w14:textId="77777777" w:rsidR="00160E67" w:rsidRPr="00013C6E" w:rsidRDefault="00000000">
      <w:pPr>
        <w:rPr>
          <w:color w:val="000000" w:themeColor="text1"/>
        </w:rPr>
      </w:pPr>
      <w:r w:rsidRPr="00013C6E">
        <w:rPr>
          <w:color w:val="000000" w:themeColor="text1"/>
        </w:rPr>
        <w:br w:type="page"/>
      </w:r>
    </w:p>
    <w:p w14:paraId="1D88008E" w14:textId="77777777" w:rsidR="00160E67" w:rsidRPr="00013C6E" w:rsidRDefault="00160E67">
      <w:pPr>
        <w:rPr>
          <w:color w:val="000000" w:themeColor="text1"/>
        </w:rPr>
        <w:sectPr w:rsidR="00160E67" w:rsidRPr="00013C6E">
          <w:pgSz w:w="12240" w:h="15840"/>
          <w:pgMar w:top="1440" w:right="1440" w:bottom="1440" w:left="1440" w:header="708" w:footer="708" w:gutter="0"/>
          <w:cols w:space="720"/>
          <w:docGrid w:linePitch="360"/>
        </w:sectPr>
      </w:pPr>
    </w:p>
    <w:p w14:paraId="058A1477" w14:textId="77777777" w:rsidR="00160E67" w:rsidRPr="00013C6E" w:rsidRDefault="00000000">
      <w:pPr>
        <w:keepNext/>
        <w:pBdr>
          <w:bottom w:val="single" w:sz="6" w:space="4" w:color="1F3864"/>
        </w:pBdr>
        <w:spacing w:before="400" w:after="200"/>
        <w:rPr>
          <w:color w:val="000000" w:themeColor="text1"/>
        </w:rPr>
      </w:pPr>
      <w:r w:rsidRPr="00013C6E">
        <w:rPr>
          <w:b/>
          <w:bCs/>
          <w:color w:val="000000" w:themeColor="text1"/>
          <w:sz w:val="28"/>
          <w:szCs w:val="28"/>
        </w:rPr>
        <w:lastRenderedPageBreak/>
        <w:t>1. Introduction</w:t>
      </w:r>
    </w:p>
    <w:p w14:paraId="1D3FDAA5" w14:textId="77777777" w:rsidR="00160E67" w:rsidRPr="00013C6E" w:rsidRDefault="00000000">
      <w:pPr>
        <w:keepNext/>
        <w:spacing w:before="240" w:after="120"/>
        <w:rPr>
          <w:color w:val="000000" w:themeColor="text1"/>
        </w:rPr>
      </w:pPr>
      <w:r w:rsidRPr="00013C6E">
        <w:rPr>
          <w:b/>
          <w:bCs/>
          <w:color w:val="000000" w:themeColor="text1"/>
          <w:sz w:val="24"/>
          <w:szCs w:val="24"/>
        </w:rPr>
        <w:t>1.1 Case Citation &amp; Jurisdiction</w:t>
      </w:r>
    </w:p>
    <w:p w14:paraId="35B3B55F" w14:textId="77777777" w:rsidR="00160E67" w:rsidRPr="00013C6E" w:rsidRDefault="00000000">
      <w:pPr>
        <w:spacing w:after="160" w:line="300" w:lineRule="auto"/>
        <w:jc w:val="both"/>
        <w:rPr>
          <w:color w:val="000000" w:themeColor="text1"/>
        </w:rPr>
      </w:pPr>
      <w:r w:rsidRPr="00013C6E">
        <w:rPr>
          <w:color w:val="000000" w:themeColor="text1"/>
          <w:sz w:val="24"/>
          <w:szCs w:val="24"/>
        </w:rPr>
        <w:t>Case Name: ICICI Bank Ltd. v. Shanti Devi Sharma &amp; Ors. Equivalent Citation: (2008) 2 SCC 367. Court: Supreme Court of India. Judge: Justice Tarun Chatterjee delivered the judgment. Date of Judgment: 2008. Type of Proceeding: Civil Appeal.</w:t>
      </w:r>
    </w:p>
    <w:p w14:paraId="4A41D7A6" w14:textId="77777777" w:rsidR="00160E67" w:rsidRPr="00013C6E" w:rsidRDefault="00000000">
      <w:pPr>
        <w:keepNext/>
        <w:spacing w:before="240" w:after="120"/>
        <w:rPr>
          <w:color w:val="000000" w:themeColor="text1"/>
        </w:rPr>
      </w:pPr>
      <w:r w:rsidRPr="00013C6E">
        <w:rPr>
          <w:b/>
          <w:bCs/>
          <w:color w:val="000000" w:themeColor="text1"/>
          <w:sz w:val="24"/>
          <w:szCs w:val="24"/>
        </w:rPr>
        <w:t>1.2 Brief Introduction to the Case</w:t>
      </w:r>
    </w:p>
    <w:p w14:paraId="5AFAE8D9" w14:textId="77777777" w:rsidR="00160E67" w:rsidRPr="00013C6E" w:rsidRDefault="00000000">
      <w:pPr>
        <w:spacing w:after="160" w:line="300" w:lineRule="auto"/>
        <w:jc w:val="both"/>
        <w:rPr>
          <w:color w:val="000000" w:themeColor="text1"/>
        </w:rPr>
      </w:pPr>
      <w:r w:rsidRPr="00013C6E">
        <w:rPr>
          <w:color w:val="000000" w:themeColor="text1"/>
          <w:sz w:val="24"/>
          <w:szCs w:val="24"/>
        </w:rPr>
        <w:t>This is an important modern Indian case that deals with how far a bank can go when trying to recover unpaid loans, and whether a bank can be blamed for the wrongful acts of the recovery agents it hires. ICICI Bank had given a vehicle loan to a customer, and when the customer failed to repay it, the bank sent recovery agents to take back the vehicle. These agents allegedly used threats and forceful tactics while repossessing the vehicle. Tragically, the borrower later died by suicide, leaving behind a note blaming the bank's harassment for his death. His widow, Shanti Devi Sharma, took the matter to court, arguing that the bank and its agents were responsible. The Supreme Court had to decide whether a bank can be held responsible for the unlawful behaviour of recovery agents acting on its behalf, and whether coercive recovery tactics violate the rights and dignity of borrowers. This case became a turning point in how Indian banks are expected to handle loan recovery.</w:t>
      </w:r>
    </w:p>
    <w:p w14:paraId="66C3BC19" w14:textId="77777777" w:rsidR="00160E67" w:rsidRPr="00013C6E" w:rsidRDefault="00000000">
      <w:pPr>
        <w:keepNext/>
        <w:pBdr>
          <w:bottom w:val="single" w:sz="6" w:space="4" w:color="1F3864"/>
        </w:pBdr>
        <w:spacing w:before="400" w:after="200"/>
        <w:rPr>
          <w:color w:val="000000" w:themeColor="text1"/>
        </w:rPr>
      </w:pPr>
      <w:r w:rsidRPr="00013C6E">
        <w:rPr>
          <w:b/>
          <w:bCs/>
          <w:color w:val="000000" w:themeColor="text1"/>
          <w:sz w:val="28"/>
          <w:szCs w:val="28"/>
        </w:rPr>
        <w:t>2. Facts of the Case</w:t>
      </w:r>
    </w:p>
    <w:p w14:paraId="7E14012A" w14:textId="77777777" w:rsidR="00160E67" w:rsidRPr="00013C6E" w:rsidRDefault="00000000">
      <w:pPr>
        <w:keepNext/>
        <w:spacing w:before="240" w:after="120"/>
        <w:rPr>
          <w:color w:val="000000" w:themeColor="text1"/>
        </w:rPr>
      </w:pPr>
      <w:r w:rsidRPr="00013C6E">
        <w:rPr>
          <w:b/>
          <w:bCs/>
          <w:color w:val="000000" w:themeColor="text1"/>
          <w:sz w:val="24"/>
          <w:szCs w:val="24"/>
        </w:rPr>
        <w:t>2.1 Chronological Summary of Events</w:t>
      </w:r>
    </w:p>
    <w:p w14:paraId="607DB2A6" w14:textId="77777777" w:rsidR="00160E67" w:rsidRPr="00013C6E" w:rsidRDefault="00000000">
      <w:pPr>
        <w:pStyle w:val="ListParagraph"/>
        <w:numPr>
          <w:ilvl w:val="0"/>
          <w:numId w:val="1"/>
        </w:numPr>
        <w:spacing w:after="100" w:line="300" w:lineRule="auto"/>
        <w:jc w:val="both"/>
        <w:rPr>
          <w:color w:val="000000" w:themeColor="text1"/>
        </w:rPr>
      </w:pPr>
      <w:r w:rsidRPr="00013C6E">
        <w:rPr>
          <w:color w:val="000000" w:themeColor="text1"/>
          <w:sz w:val="24"/>
          <w:szCs w:val="24"/>
        </w:rPr>
        <w:t>ICICI Bank had given a vehicle loan to a borrower, who was expected to repay it in instalments.</w:t>
      </w:r>
    </w:p>
    <w:p w14:paraId="513B7706" w14:textId="77777777" w:rsidR="00160E67" w:rsidRPr="00013C6E" w:rsidRDefault="00000000">
      <w:pPr>
        <w:pStyle w:val="ListParagraph"/>
        <w:numPr>
          <w:ilvl w:val="0"/>
          <w:numId w:val="1"/>
        </w:numPr>
        <w:spacing w:after="100" w:line="300" w:lineRule="auto"/>
        <w:jc w:val="both"/>
        <w:rPr>
          <w:color w:val="000000" w:themeColor="text1"/>
        </w:rPr>
      </w:pPr>
      <w:r w:rsidRPr="00013C6E">
        <w:rPr>
          <w:color w:val="000000" w:themeColor="text1"/>
          <w:sz w:val="24"/>
          <w:szCs w:val="24"/>
        </w:rPr>
        <w:t>The borrower defaulted on his loan repayments, meaning he failed to pay the instalments as agreed.</w:t>
      </w:r>
    </w:p>
    <w:p w14:paraId="71521085" w14:textId="77777777" w:rsidR="00160E67" w:rsidRPr="00013C6E" w:rsidRDefault="00000000">
      <w:pPr>
        <w:pStyle w:val="ListParagraph"/>
        <w:numPr>
          <w:ilvl w:val="0"/>
          <w:numId w:val="1"/>
        </w:numPr>
        <w:spacing w:after="100" w:line="300" w:lineRule="auto"/>
        <w:jc w:val="both"/>
        <w:rPr>
          <w:color w:val="000000" w:themeColor="text1"/>
        </w:rPr>
      </w:pPr>
      <w:r w:rsidRPr="00013C6E">
        <w:rPr>
          <w:color w:val="000000" w:themeColor="text1"/>
          <w:sz w:val="24"/>
          <w:szCs w:val="24"/>
        </w:rPr>
        <w:t>Because of this default, the bank engaged recovery agents to repossess (take back) the vehicle that had been financed through the loan.</w:t>
      </w:r>
    </w:p>
    <w:p w14:paraId="7450BB5E" w14:textId="77777777" w:rsidR="00160E67" w:rsidRPr="00013C6E" w:rsidRDefault="00000000">
      <w:pPr>
        <w:pStyle w:val="ListParagraph"/>
        <w:numPr>
          <w:ilvl w:val="0"/>
          <w:numId w:val="1"/>
        </w:numPr>
        <w:spacing w:after="100" w:line="300" w:lineRule="auto"/>
        <w:jc w:val="both"/>
        <w:rPr>
          <w:color w:val="000000" w:themeColor="text1"/>
        </w:rPr>
      </w:pPr>
      <w:r w:rsidRPr="00013C6E">
        <w:rPr>
          <w:color w:val="000000" w:themeColor="text1"/>
          <w:sz w:val="24"/>
          <w:szCs w:val="24"/>
        </w:rPr>
        <w:t>The recovery agents forcibly seized the vehicle, and it was alleged that they used threats and intimidating tactics against the borrower while doing so.</w:t>
      </w:r>
    </w:p>
    <w:p w14:paraId="58310B7E" w14:textId="77777777" w:rsidR="00160E67" w:rsidRPr="00013C6E" w:rsidRDefault="00000000">
      <w:pPr>
        <w:pStyle w:val="ListParagraph"/>
        <w:numPr>
          <w:ilvl w:val="0"/>
          <w:numId w:val="1"/>
        </w:numPr>
        <w:spacing w:after="100" w:line="300" w:lineRule="auto"/>
        <w:jc w:val="both"/>
        <w:rPr>
          <w:color w:val="000000" w:themeColor="text1"/>
        </w:rPr>
      </w:pPr>
      <w:r w:rsidRPr="00013C6E">
        <w:rPr>
          <w:color w:val="000000" w:themeColor="text1"/>
          <w:sz w:val="24"/>
          <w:szCs w:val="24"/>
        </w:rPr>
        <w:t>The borrower, unable to cope with the harassment, tragically died by suicide, and he left behind a note stating that the bank's recovery agents were responsible for driving him to this extreme step.</w:t>
      </w:r>
    </w:p>
    <w:p w14:paraId="6C92D4D6" w14:textId="77777777" w:rsidR="00160E67" w:rsidRPr="00013C6E" w:rsidRDefault="00000000">
      <w:pPr>
        <w:pStyle w:val="ListParagraph"/>
        <w:numPr>
          <w:ilvl w:val="0"/>
          <w:numId w:val="1"/>
        </w:numPr>
        <w:spacing w:after="100" w:line="300" w:lineRule="auto"/>
        <w:jc w:val="both"/>
        <w:rPr>
          <w:color w:val="000000" w:themeColor="text1"/>
        </w:rPr>
      </w:pPr>
      <w:r w:rsidRPr="00013C6E">
        <w:rPr>
          <w:color w:val="000000" w:themeColor="text1"/>
          <w:sz w:val="24"/>
          <w:szCs w:val="24"/>
        </w:rPr>
        <w:t>The borrower's widow, Shanti Devi Sharma, filed a case, holding ICICI Bank and its recovery agents responsible for her husband's harassment and death.</w:t>
      </w:r>
    </w:p>
    <w:p w14:paraId="57FBFD71" w14:textId="77777777" w:rsidR="00160E67" w:rsidRPr="00013C6E" w:rsidRDefault="00000000">
      <w:pPr>
        <w:pStyle w:val="ListParagraph"/>
        <w:numPr>
          <w:ilvl w:val="0"/>
          <w:numId w:val="1"/>
        </w:numPr>
        <w:spacing w:after="100" w:line="300" w:lineRule="auto"/>
        <w:jc w:val="both"/>
        <w:rPr>
          <w:color w:val="000000" w:themeColor="text1"/>
        </w:rPr>
      </w:pPr>
      <w:r w:rsidRPr="00013C6E">
        <w:rPr>
          <w:color w:val="000000" w:themeColor="text1"/>
          <w:sz w:val="24"/>
          <w:szCs w:val="24"/>
        </w:rPr>
        <w:lastRenderedPageBreak/>
        <w:t>The matter eventually reached the Supreme Court of India, which had to decide whether the bank could be held legally responsible for the unlawful conduct of the recovery agents it had hired.</w:t>
      </w:r>
    </w:p>
    <w:p w14:paraId="7936C0DF" w14:textId="77777777" w:rsidR="00160E67" w:rsidRPr="00013C6E" w:rsidRDefault="00000000">
      <w:pPr>
        <w:keepNext/>
        <w:spacing w:before="240" w:after="120"/>
        <w:rPr>
          <w:color w:val="000000" w:themeColor="text1"/>
        </w:rPr>
      </w:pPr>
      <w:r w:rsidRPr="00013C6E">
        <w:rPr>
          <w:b/>
          <w:bCs/>
          <w:color w:val="000000" w:themeColor="text1"/>
          <w:sz w:val="24"/>
          <w:szCs w:val="24"/>
        </w:rPr>
        <w:t>2.2 Material Commercial Context</w:t>
      </w:r>
    </w:p>
    <w:p w14:paraId="44922FA3" w14:textId="77777777" w:rsidR="00160E67" w:rsidRPr="00013C6E" w:rsidRDefault="00000000">
      <w:pPr>
        <w:spacing w:after="160" w:line="300" w:lineRule="auto"/>
        <w:jc w:val="both"/>
        <w:rPr>
          <w:color w:val="000000" w:themeColor="text1"/>
        </w:rPr>
      </w:pPr>
      <w:r w:rsidRPr="00013C6E">
        <w:rPr>
          <w:color w:val="000000" w:themeColor="text1"/>
          <w:sz w:val="24"/>
          <w:szCs w:val="24"/>
        </w:rPr>
        <w:t>This case arose out of an ordinary vehicle loan agreement between a bank and a customer - a very common type of consumer lending relationship in India. When customers fail to repay such loans, banks often rely on third-party recovery agents to repossess the financed asset (in this case, a vehicle) instead of going through lengthy court proceedings. This practice became widespread after India's banking sector opened up to more private and foreign players in the 1990s, leading to a sharp rise in personal loans, vehicle loans, and credit cards - and, unfortunately, an equally sharp rise in aggressive and sometimes unlawful recovery practices by agents acting on behalf of banks.</w:t>
      </w:r>
    </w:p>
    <w:p w14:paraId="373A472C" w14:textId="77777777" w:rsidR="00160E67" w:rsidRPr="00013C6E" w:rsidRDefault="00000000">
      <w:pPr>
        <w:keepNext/>
        <w:pBdr>
          <w:bottom w:val="single" w:sz="6" w:space="4" w:color="1F3864"/>
        </w:pBdr>
        <w:spacing w:before="400" w:after="200"/>
        <w:rPr>
          <w:color w:val="000000" w:themeColor="text1"/>
        </w:rPr>
      </w:pPr>
      <w:r w:rsidRPr="00013C6E">
        <w:rPr>
          <w:b/>
          <w:bCs/>
          <w:color w:val="000000" w:themeColor="text1"/>
          <w:sz w:val="28"/>
          <w:szCs w:val="28"/>
        </w:rPr>
        <w:t>3. Legal Issue</w:t>
      </w:r>
    </w:p>
    <w:p w14:paraId="51C93D59" w14:textId="77777777" w:rsidR="00160E67" w:rsidRPr="00013C6E" w:rsidRDefault="00000000">
      <w:pPr>
        <w:keepNext/>
        <w:spacing w:before="240" w:after="120"/>
        <w:rPr>
          <w:color w:val="000000" w:themeColor="text1"/>
        </w:rPr>
      </w:pPr>
      <w:r w:rsidRPr="00013C6E">
        <w:rPr>
          <w:b/>
          <w:bCs/>
          <w:color w:val="000000" w:themeColor="text1"/>
          <w:sz w:val="24"/>
          <w:szCs w:val="24"/>
        </w:rPr>
        <w:t>3.1 Primary Question of Law</w:t>
      </w:r>
    </w:p>
    <w:p w14:paraId="30435B6C" w14:textId="77777777" w:rsidR="00160E67" w:rsidRPr="00013C6E" w:rsidRDefault="00000000">
      <w:pPr>
        <w:spacing w:after="160" w:line="300" w:lineRule="auto"/>
        <w:jc w:val="both"/>
        <w:rPr>
          <w:color w:val="000000" w:themeColor="text1"/>
        </w:rPr>
      </w:pPr>
      <w:r w:rsidRPr="00013C6E">
        <w:rPr>
          <w:color w:val="000000" w:themeColor="text1"/>
          <w:sz w:val="24"/>
          <w:szCs w:val="24"/>
        </w:rPr>
        <w:t>Simply put: can a bank be held legally responsible when the recovery agents it hires use threats, force, or unlawful methods to recover a loan? And do such coercive recovery practices violate a borrower's basic rights, such as the right to life and dignity?</w:t>
      </w:r>
    </w:p>
    <w:p w14:paraId="2316FAC7" w14:textId="77777777" w:rsidR="00160E67" w:rsidRPr="00013C6E" w:rsidRDefault="00000000">
      <w:pPr>
        <w:keepNext/>
        <w:spacing w:before="240" w:after="120"/>
        <w:rPr>
          <w:color w:val="000000" w:themeColor="text1"/>
        </w:rPr>
      </w:pPr>
      <w:r w:rsidRPr="00013C6E">
        <w:rPr>
          <w:b/>
          <w:bCs/>
          <w:color w:val="000000" w:themeColor="text1"/>
          <w:sz w:val="24"/>
          <w:szCs w:val="24"/>
        </w:rPr>
        <w:t>3.2 Points of Contention</w:t>
      </w:r>
    </w:p>
    <w:p w14:paraId="439F7524" w14:textId="77777777" w:rsidR="00160E67" w:rsidRPr="00013C6E" w:rsidRDefault="00000000">
      <w:pPr>
        <w:spacing w:after="160" w:line="300" w:lineRule="auto"/>
        <w:jc w:val="both"/>
        <w:rPr>
          <w:color w:val="000000" w:themeColor="text1"/>
        </w:rPr>
      </w:pPr>
      <w:r w:rsidRPr="00013C6E">
        <w:rPr>
          <w:b/>
          <w:bCs/>
          <w:color w:val="000000" w:themeColor="text1"/>
          <w:sz w:val="24"/>
          <w:szCs w:val="24"/>
        </w:rPr>
        <w:t xml:space="preserve">Shanti Devi Sharma's Side: </w:t>
      </w:r>
      <w:r w:rsidRPr="00013C6E">
        <w:rPr>
          <w:color w:val="000000" w:themeColor="text1"/>
          <w:sz w:val="24"/>
          <w:szCs w:val="24"/>
        </w:rPr>
        <w:t>She argued that the bank's recovery agents used threatening and forceful tactics to repossess the vehicle, which directly led to her husband's harassment and eventual death. She contended that since these agents were acting on behalf of the bank and within the scope of the work assigned to them, the bank itself must be held responsible for their unlawful conduct, and that this amounted to a serious violation of consumer rights and human dignity.</w:t>
      </w:r>
    </w:p>
    <w:p w14:paraId="575DBF8B" w14:textId="77777777" w:rsidR="00160E67" w:rsidRPr="00013C6E" w:rsidRDefault="00000000">
      <w:pPr>
        <w:spacing w:after="160" w:line="300" w:lineRule="auto"/>
        <w:jc w:val="both"/>
        <w:rPr>
          <w:color w:val="000000" w:themeColor="text1"/>
        </w:rPr>
      </w:pPr>
      <w:r w:rsidRPr="00013C6E">
        <w:rPr>
          <w:b/>
          <w:bCs/>
          <w:color w:val="000000" w:themeColor="text1"/>
          <w:sz w:val="24"/>
          <w:szCs w:val="24"/>
        </w:rPr>
        <w:t xml:space="preserve">ICICI Bank's Side: </w:t>
      </w:r>
      <w:r w:rsidRPr="00013C6E">
        <w:rPr>
          <w:color w:val="000000" w:themeColor="text1"/>
          <w:sz w:val="24"/>
          <w:szCs w:val="24"/>
        </w:rPr>
        <w:t>The bank's position was essentially that it had only outsourced the recovery work to independent agents, and that it should not be held liable for actions the agents may have taken on their own, beyond what was authorised. The broader industry argument at the time was that banks needed some way to recover unpaid loans efficiently, and that using recovery agents was a normal and accepted commercial practice.</w:t>
      </w:r>
    </w:p>
    <w:p w14:paraId="428A0CB1" w14:textId="77777777" w:rsidR="00160E67" w:rsidRPr="00013C6E" w:rsidRDefault="00000000">
      <w:pPr>
        <w:keepNext/>
        <w:pBdr>
          <w:bottom w:val="single" w:sz="6" w:space="4" w:color="1F3864"/>
        </w:pBdr>
        <w:spacing w:before="400" w:after="200"/>
        <w:rPr>
          <w:color w:val="000000" w:themeColor="text1"/>
        </w:rPr>
      </w:pPr>
      <w:r w:rsidRPr="00013C6E">
        <w:rPr>
          <w:b/>
          <w:bCs/>
          <w:color w:val="000000" w:themeColor="text1"/>
          <w:sz w:val="28"/>
          <w:szCs w:val="28"/>
        </w:rPr>
        <w:t>4. Judgment</w:t>
      </w:r>
    </w:p>
    <w:p w14:paraId="4515A9EF" w14:textId="77777777" w:rsidR="00160E67" w:rsidRPr="00013C6E" w:rsidRDefault="00000000">
      <w:pPr>
        <w:keepNext/>
        <w:spacing w:before="240" w:after="120"/>
        <w:rPr>
          <w:color w:val="000000" w:themeColor="text1"/>
        </w:rPr>
      </w:pPr>
      <w:r w:rsidRPr="00013C6E">
        <w:rPr>
          <w:b/>
          <w:bCs/>
          <w:color w:val="000000" w:themeColor="text1"/>
          <w:sz w:val="24"/>
          <w:szCs w:val="24"/>
        </w:rPr>
        <w:t>4.1 Court's Decision</w:t>
      </w:r>
    </w:p>
    <w:p w14:paraId="6B25022D" w14:textId="77777777" w:rsidR="00160E67" w:rsidRPr="00013C6E" w:rsidRDefault="00000000">
      <w:pPr>
        <w:spacing w:after="160" w:line="300" w:lineRule="auto"/>
        <w:jc w:val="both"/>
        <w:rPr>
          <w:color w:val="000000" w:themeColor="text1"/>
        </w:rPr>
      </w:pPr>
      <w:r w:rsidRPr="00013C6E">
        <w:rPr>
          <w:color w:val="000000" w:themeColor="text1"/>
          <w:sz w:val="24"/>
          <w:szCs w:val="24"/>
        </w:rPr>
        <w:t xml:space="preserve">The Supreme Court ruled against ICICI Bank. It strongly condemned the use of forceful and coercive recovery methods, and held that the bank was responsible for the unlawful actions of its </w:t>
      </w:r>
      <w:r w:rsidRPr="00013C6E">
        <w:rPr>
          <w:color w:val="000000" w:themeColor="text1"/>
          <w:sz w:val="24"/>
          <w:szCs w:val="24"/>
        </w:rPr>
        <w:lastRenderedPageBreak/>
        <w:t>recovery agents, since they were acting on the bank's behalf and within the scope of the work assigned to them.</w:t>
      </w:r>
    </w:p>
    <w:p w14:paraId="05D155B6" w14:textId="77777777" w:rsidR="00160E67" w:rsidRPr="00013C6E" w:rsidRDefault="00000000">
      <w:pPr>
        <w:keepNext/>
        <w:spacing w:before="240" w:after="120"/>
        <w:rPr>
          <w:color w:val="000000" w:themeColor="text1"/>
        </w:rPr>
      </w:pPr>
      <w:r w:rsidRPr="00013C6E">
        <w:rPr>
          <w:b/>
          <w:bCs/>
          <w:color w:val="000000" w:themeColor="text1"/>
          <w:sz w:val="24"/>
          <w:szCs w:val="24"/>
        </w:rPr>
        <w:t>4.2 Ratio Decidendi (Judicial Reasoning)</w:t>
      </w:r>
    </w:p>
    <w:p w14:paraId="4AD1E72E" w14:textId="77777777" w:rsidR="00160E67" w:rsidRPr="00013C6E" w:rsidRDefault="00000000">
      <w:pPr>
        <w:spacing w:after="160" w:line="300" w:lineRule="auto"/>
        <w:jc w:val="both"/>
        <w:rPr>
          <w:color w:val="000000" w:themeColor="text1"/>
        </w:rPr>
      </w:pPr>
      <w:r w:rsidRPr="00013C6E">
        <w:rPr>
          <w:color w:val="000000" w:themeColor="text1"/>
          <w:sz w:val="24"/>
          <w:szCs w:val="24"/>
        </w:rPr>
        <w:t>Justice Tarun Chatterjee, delivering the judgment, made it clear that no bank or financial institution has the right to use extra-legal or forceful methods to recover a loan, no matter how genuine the default may be. He explained that even when a borrower fails to repay a loan, the bank must recover the money strictly through lawful methods, such as filing a civil suit or using the procedures laid down under the SARFAESI Act (a law that allows banks to recover secured loans through a proper legal process). The Court stressed that a person's dignity and right to life cannot be sacrificed just because a bank wants to protect its financial interests. On the question of whether the bank could be blamed for its agents' actions, the Court applied the principle of vicarious liability - this basically means that if an agent commits a wrongful act while doing the job they were hired for, the person or company that hired them (the 'principal') can be held responsible too. Since the recovery agents were acting on behalf of ICICI Bank and within the scope of the recovery work assigned to them, the Court held that the bank could not escape responsibility simply by saying it had outsourced the work to a third party.</w:t>
      </w:r>
    </w:p>
    <w:p w14:paraId="719EB529" w14:textId="77777777" w:rsidR="00160E67" w:rsidRPr="00013C6E" w:rsidRDefault="00000000">
      <w:pPr>
        <w:spacing w:after="160" w:line="300" w:lineRule="auto"/>
        <w:jc w:val="both"/>
        <w:rPr>
          <w:color w:val="000000" w:themeColor="text1"/>
        </w:rPr>
      </w:pPr>
      <w:r w:rsidRPr="00013C6E">
        <w:rPr>
          <w:color w:val="000000" w:themeColor="text1"/>
          <w:sz w:val="24"/>
          <w:szCs w:val="24"/>
        </w:rPr>
        <w:t>In short: the court said banks must recover unpaid loans only through proper legal channels, never through threats or force. And since the recovery agents were acting on the bank's behalf, the bank itself was held responsible for their unlawful conduct.</w:t>
      </w:r>
    </w:p>
    <w:p w14:paraId="7098E3D9" w14:textId="77777777" w:rsidR="00160E67" w:rsidRPr="00013C6E" w:rsidRDefault="00000000">
      <w:pPr>
        <w:keepNext/>
        <w:pBdr>
          <w:bottom w:val="single" w:sz="6" w:space="4" w:color="1F3864"/>
        </w:pBdr>
        <w:spacing w:before="400" w:after="200"/>
        <w:rPr>
          <w:color w:val="000000" w:themeColor="text1"/>
        </w:rPr>
      </w:pPr>
      <w:r w:rsidRPr="00013C6E">
        <w:rPr>
          <w:b/>
          <w:bCs/>
          <w:color w:val="000000" w:themeColor="text1"/>
          <w:sz w:val="28"/>
          <w:szCs w:val="28"/>
        </w:rPr>
        <w:t>5. Legal Principle: Contract Formation Analysis</w:t>
      </w:r>
    </w:p>
    <w:p w14:paraId="3469E2B6" w14:textId="77777777" w:rsidR="00160E67" w:rsidRPr="00013C6E" w:rsidRDefault="00000000">
      <w:pPr>
        <w:keepNext/>
        <w:spacing w:before="240" w:after="120"/>
        <w:rPr>
          <w:color w:val="000000" w:themeColor="text1"/>
        </w:rPr>
      </w:pPr>
      <w:r w:rsidRPr="00013C6E">
        <w:rPr>
          <w:b/>
          <w:bCs/>
          <w:color w:val="000000" w:themeColor="text1"/>
          <w:sz w:val="24"/>
          <w:szCs w:val="24"/>
        </w:rPr>
        <w:t>5.1 Evaluation of a Valid Offer</w:t>
      </w:r>
    </w:p>
    <w:p w14:paraId="5D2B22BA" w14:textId="77777777" w:rsidR="00160E67" w:rsidRPr="00013C6E" w:rsidRDefault="00000000">
      <w:pPr>
        <w:spacing w:after="160" w:line="300" w:lineRule="auto"/>
        <w:jc w:val="both"/>
        <w:rPr>
          <w:color w:val="000000" w:themeColor="text1"/>
        </w:rPr>
      </w:pPr>
      <w:r w:rsidRPr="00013C6E">
        <w:rPr>
          <w:color w:val="000000" w:themeColor="text1"/>
          <w:sz w:val="24"/>
          <w:szCs w:val="24"/>
        </w:rPr>
        <w:t>This case does not revolve around the formation of the original loan contract itself - the loan agreement between ICICI Bank and the borrower was a valid, properly formed contract, with clear terms about repayment. Instead, the dispute arose out of what happened after the borrower defaulted, and how the bank chose to enforce its rights under that contract. This is an important reminder that even a perfectly valid contract does not give either party unlimited power to enforce it however they like - the method used to enforce a contract must still stay within the boundaries of the law.</w:t>
      </w:r>
    </w:p>
    <w:p w14:paraId="5AE025C4" w14:textId="77777777" w:rsidR="00160E67" w:rsidRPr="00013C6E" w:rsidRDefault="00000000">
      <w:pPr>
        <w:keepNext/>
        <w:spacing w:before="240" w:after="120"/>
        <w:rPr>
          <w:color w:val="000000" w:themeColor="text1"/>
        </w:rPr>
      </w:pPr>
      <w:r w:rsidRPr="00013C6E">
        <w:rPr>
          <w:b/>
          <w:bCs/>
          <w:color w:val="000000" w:themeColor="text1"/>
          <w:sz w:val="24"/>
          <w:szCs w:val="24"/>
        </w:rPr>
        <w:t>5.2 Mechanics of Acceptance</w:t>
      </w:r>
    </w:p>
    <w:p w14:paraId="6415B521" w14:textId="77777777" w:rsidR="00160E67" w:rsidRPr="00013C6E" w:rsidRDefault="00000000">
      <w:pPr>
        <w:spacing w:after="160" w:line="300" w:lineRule="auto"/>
        <w:jc w:val="both"/>
        <w:rPr>
          <w:color w:val="000000" w:themeColor="text1"/>
        </w:rPr>
      </w:pPr>
      <w:r w:rsidRPr="00013C6E">
        <w:rPr>
          <w:color w:val="000000" w:themeColor="text1"/>
          <w:sz w:val="24"/>
          <w:szCs w:val="24"/>
        </w:rPr>
        <w:t xml:space="preserve">Since the loan agreement itself was not in dispute, the idea of acceptance is not central to this case in the traditional sense. However, there is an important related concept here: when the bank engaged recovery agents, this created a separate relationship of agency, where the agents were acting on behalf of, and with authority from, the bank. The 'acceptance' that matters most in this </w:t>
      </w:r>
      <w:r w:rsidRPr="00013C6E">
        <w:rPr>
          <w:color w:val="000000" w:themeColor="text1"/>
          <w:sz w:val="24"/>
          <w:szCs w:val="24"/>
        </w:rPr>
        <w:lastRenderedPageBreak/>
        <w:t>case is the bank's acceptance of responsibility for the actions its agents take while carrying out the work it assigned to them, even if the bank never directly instructed them to use force or threats.</w:t>
      </w:r>
    </w:p>
    <w:p w14:paraId="2FD2A687" w14:textId="77777777" w:rsidR="00160E67" w:rsidRPr="00013C6E" w:rsidRDefault="00000000">
      <w:pPr>
        <w:keepNext/>
        <w:spacing w:before="240" w:after="120"/>
        <w:rPr>
          <w:color w:val="000000" w:themeColor="text1"/>
        </w:rPr>
      </w:pPr>
      <w:r w:rsidRPr="00013C6E">
        <w:rPr>
          <w:b/>
          <w:bCs/>
          <w:color w:val="000000" w:themeColor="text1"/>
          <w:sz w:val="24"/>
          <w:szCs w:val="24"/>
        </w:rPr>
        <w:t>5.3 Ancillary Pillars of Formation</w:t>
      </w:r>
    </w:p>
    <w:p w14:paraId="3F4B6654" w14:textId="77777777" w:rsidR="00160E67" w:rsidRPr="00013C6E" w:rsidRDefault="00000000">
      <w:pPr>
        <w:spacing w:after="160" w:line="300" w:lineRule="auto"/>
        <w:jc w:val="both"/>
        <w:rPr>
          <w:color w:val="000000" w:themeColor="text1"/>
        </w:rPr>
      </w:pPr>
      <w:r w:rsidRPr="00013C6E">
        <w:rPr>
          <w:b/>
          <w:bCs/>
          <w:color w:val="000000" w:themeColor="text1"/>
          <w:sz w:val="24"/>
          <w:szCs w:val="24"/>
        </w:rPr>
        <w:t xml:space="preserve">Deficiency in Service: </w:t>
      </w:r>
      <w:r w:rsidRPr="00013C6E">
        <w:rPr>
          <w:color w:val="000000" w:themeColor="text1"/>
          <w:sz w:val="24"/>
          <w:szCs w:val="24"/>
        </w:rPr>
        <w:t>Under the Consumer Protection Act, any imperfection or unfair conduct in the service provided by a bank counts as a 'deficiency in service'. The Court's reasoning confirmed that coercive or harassing recovery tactics fall squarely within this definition, giving consumers legal grounds to seek compensation and accountability.</w:t>
      </w:r>
    </w:p>
    <w:p w14:paraId="4AA183D3" w14:textId="77777777" w:rsidR="00160E67" w:rsidRPr="00013C6E" w:rsidRDefault="00000000">
      <w:pPr>
        <w:spacing w:after="160" w:line="300" w:lineRule="auto"/>
        <w:jc w:val="both"/>
        <w:rPr>
          <w:color w:val="000000" w:themeColor="text1"/>
        </w:rPr>
      </w:pPr>
      <w:r w:rsidRPr="00013C6E">
        <w:rPr>
          <w:b/>
          <w:bCs/>
          <w:color w:val="000000" w:themeColor="text1"/>
          <w:sz w:val="24"/>
          <w:szCs w:val="24"/>
        </w:rPr>
        <w:t xml:space="preserve">Vicarious Liability of the Bank: </w:t>
      </w:r>
      <w:r w:rsidRPr="00013C6E">
        <w:rPr>
          <w:color w:val="000000" w:themeColor="text1"/>
          <w:sz w:val="24"/>
          <w:szCs w:val="24"/>
        </w:rPr>
        <w:t>This is the key legal principle from this case. Because the recovery agents were acting as agents of the bank and within the scope of the work assigned to them, the bank was held legally responsible for their wrongful acts. This principle prevents banks from using outsourcing as a shield to avoid responsibility for how their loans are actually recovered on the ground.</w:t>
      </w:r>
    </w:p>
    <w:p w14:paraId="314B114A" w14:textId="77777777" w:rsidR="00160E67" w:rsidRPr="00013C6E" w:rsidRDefault="00000000">
      <w:pPr>
        <w:keepNext/>
        <w:pBdr>
          <w:bottom w:val="single" w:sz="6" w:space="4" w:color="1F3864"/>
        </w:pBdr>
        <w:spacing w:before="400" w:after="200"/>
        <w:rPr>
          <w:color w:val="000000" w:themeColor="text1"/>
        </w:rPr>
      </w:pPr>
      <w:r w:rsidRPr="00013C6E">
        <w:rPr>
          <w:b/>
          <w:bCs/>
          <w:color w:val="000000" w:themeColor="text1"/>
          <w:sz w:val="28"/>
          <w:szCs w:val="28"/>
        </w:rPr>
        <w:t>6. Business Relevance</w:t>
      </w:r>
    </w:p>
    <w:p w14:paraId="27E32358" w14:textId="77777777" w:rsidR="00160E67" w:rsidRPr="00013C6E" w:rsidRDefault="00000000">
      <w:pPr>
        <w:keepNext/>
        <w:spacing w:before="240" w:after="120"/>
        <w:rPr>
          <w:color w:val="000000" w:themeColor="text1"/>
        </w:rPr>
      </w:pPr>
      <w:r w:rsidRPr="00013C6E">
        <w:rPr>
          <w:b/>
          <w:bCs/>
          <w:color w:val="000000" w:themeColor="text1"/>
          <w:sz w:val="24"/>
          <w:szCs w:val="24"/>
        </w:rPr>
        <w:t>6.1 Application in Modern Business</w:t>
      </w:r>
    </w:p>
    <w:p w14:paraId="4FCFAA2E" w14:textId="77777777" w:rsidR="00160E67" w:rsidRPr="00013C6E" w:rsidRDefault="00000000">
      <w:pPr>
        <w:spacing w:after="160" w:line="300" w:lineRule="auto"/>
        <w:jc w:val="both"/>
        <w:rPr>
          <w:color w:val="000000" w:themeColor="text1"/>
        </w:rPr>
      </w:pPr>
      <w:r w:rsidRPr="00013C6E">
        <w:rPr>
          <w:color w:val="000000" w:themeColor="text1"/>
          <w:sz w:val="24"/>
          <w:szCs w:val="24"/>
        </w:rPr>
        <w:t>This case remains extremely relevant to banks, NBFCs (non-banking financial companies), and today's fast-growing digital lending and fintech platforms in India. Any business that lends money - whether it is a traditional bank, a vehicle finance company, or a new-age app offering instant personal loans - must ensure that its loan recovery practices stay fully within the law. With the rise of digital lending apps in recent years, there have been fresh concerns about aggressive recovery tactics, including harassment through phone calls, messages, and even public shaming of borrowers on social media. The reasoning in this case applies just as strongly to these modern practices: a lending company cannot escape responsibility for unlawful recovery conduct simply because it was carried out by a third-party agency, app-based recovery team, or outsourced call centre.</w:t>
      </w:r>
    </w:p>
    <w:p w14:paraId="6CC07DED" w14:textId="77777777" w:rsidR="00160E67" w:rsidRPr="00013C6E" w:rsidRDefault="00000000">
      <w:pPr>
        <w:keepNext/>
        <w:spacing w:before="240" w:after="120"/>
        <w:rPr>
          <w:color w:val="000000" w:themeColor="text1"/>
        </w:rPr>
      </w:pPr>
      <w:r w:rsidRPr="00013C6E">
        <w:rPr>
          <w:b/>
          <w:bCs/>
          <w:color w:val="000000" w:themeColor="text1"/>
          <w:sz w:val="24"/>
          <w:szCs w:val="24"/>
        </w:rPr>
        <w:t>6.2 Risk Management &amp; Operational Compliance</w:t>
      </w:r>
    </w:p>
    <w:p w14:paraId="2FABD76C" w14:textId="77777777" w:rsidR="00160E67" w:rsidRPr="00013C6E" w:rsidRDefault="00000000">
      <w:pPr>
        <w:pStyle w:val="ListParagraph"/>
        <w:numPr>
          <w:ilvl w:val="0"/>
          <w:numId w:val="1"/>
        </w:numPr>
        <w:spacing w:after="100" w:line="300" w:lineRule="auto"/>
        <w:jc w:val="both"/>
        <w:rPr>
          <w:color w:val="000000" w:themeColor="text1"/>
        </w:rPr>
      </w:pPr>
      <w:r w:rsidRPr="00013C6E">
        <w:rPr>
          <w:color w:val="000000" w:themeColor="text1"/>
          <w:sz w:val="24"/>
          <w:szCs w:val="24"/>
        </w:rPr>
        <w:t>Banks, NBFCs, and fintech lenders should ensure that any recovery agents or agencies they engage are properly trained, authorised, and strictly monitored to follow lawful and respectful recovery practices.</w:t>
      </w:r>
    </w:p>
    <w:p w14:paraId="6E741A7B" w14:textId="77777777" w:rsidR="00160E67" w:rsidRPr="00013C6E" w:rsidRDefault="00000000">
      <w:pPr>
        <w:pStyle w:val="ListParagraph"/>
        <w:numPr>
          <w:ilvl w:val="0"/>
          <w:numId w:val="1"/>
        </w:numPr>
        <w:spacing w:after="100" w:line="300" w:lineRule="auto"/>
        <w:jc w:val="both"/>
        <w:rPr>
          <w:color w:val="000000" w:themeColor="text1"/>
        </w:rPr>
      </w:pPr>
      <w:r w:rsidRPr="00013C6E">
        <w:rPr>
          <w:color w:val="000000" w:themeColor="text1"/>
          <w:sz w:val="24"/>
          <w:szCs w:val="24"/>
        </w:rPr>
        <w:t>Lending institutions should rely on proper legal channels for recovery, such as civil suits or procedures under the SARFAESI Act, instead of informal or forceful tactics, even when a default is genuine.</w:t>
      </w:r>
    </w:p>
    <w:p w14:paraId="7728CF20" w14:textId="77777777" w:rsidR="00160E67" w:rsidRPr="00013C6E" w:rsidRDefault="00000000">
      <w:pPr>
        <w:pStyle w:val="ListParagraph"/>
        <w:numPr>
          <w:ilvl w:val="0"/>
          <w:numId w:val="1"/>
        </w:numPr>
        <w:spacing w:after="100" w:line="300" w:lineRule="auto"/>
        <w:jc w:val="both"/>
        <w:rPr>
          <w:color w:val="000000" w:themeColor="text1"/>
        </w:rPr>
      </w:pPr>
      <w:r w:rsidRPr="00013C6E">
        <w:rPr>
          <w:color w:val="000000" w:themeColor="text1"/>
          <w:sz w:val="24"/>
          <w:szCs w:val="24"/>
        </w:rPr>
        <w:t>Clear contracts and codes of conduct should be signed with recovery agents or agencies, explicitly prohibiting threats, intimidation, or any form of harassment, along with strict consequences for violations.</w:t>
      </w:r>
    </w:p>
    <w:p w14:paraId="739EF4EF" w14:textId="77777777" w:rsidR="00160E67" w:rsidRPr="00013C6E" w:rsidRDefault="00000000">
      <w:pPr>
        <w:pStyle w:val="ListParagraph"/>
        <w:numPr>
          <w:ilvl w:val="0"/>
          <w:numId w:val="1"/>
        </w:numPr>
        <w:spacing w:after="100" w:line="300" w:lineRule="auto"/>
        <w:jc w:val="both"/>
        <w:rPr>
          <w:color w:val="000000" w:themeColor="text1"/>
        </w:rPr>
      </w:pPr>
      <w:r w:rsidRPr="00013C6E">
        <w:rPr>
          <w:color w:val="000000" w:themeColor="text1"/>
          <w:sz w:val="24"/>
          <w:szCs w:val="24"/>
        </w:rPr>
        <w:lastRenderedPageBreak/>
        <w:t>Recovery interactions should be documented or recorded wherever possible, both to maintain transparency and to protect the lending institution if a dispute arises later.</w:t>
      </w:r>
    </w:p>
    <w:p w14:paraId="34276DD6" w14:textId="77777777" w:rsidR="00160E67" w:rsidRPr="00013C6E" w:rsidRDefault="00000000">
      <w:pPr>
        <w:pStyle w:val="ListParagraph"/>
        <w:numPr>
          <w:ilvl w:val="0"/>
          <w:numId w:val="1"/>
        </w:numPr>
        <w:spacing w:after="100" w:line="300" w:lineRule="auto"/>
        <w:jc w:val="both"/>
        <w:rPr>
          <w:color w:val="000000" w:themeColor="text1"/>
        </w:rPr>
      </w:pPr>
      <w:r w:rsidRPr="00013C6E">
        <w:rPr>
          <w:color w:val="000000" w:themeColor="text1"/>
          <w:sz w:val="24"/>
          <w:szCs w:val="24"/>
        </w:rPr>
        <w:t>Compliance and legal teams should regularly review recovery practices against RBI guidelines and consumer protection laws, since a business remains liable for the conduct of any agent acting on its behalf, even if that agent is technically an independent contractor.</w:t>
      </w:r>
    </w:p>
    <w:p w14:paraId="67AD6BB4" w14:textId="77777777" w:rsidR="00160E67" w:rsidRPr="00013C6E" w:rsidRDefault="00000000">
      <w:pPr>
        <w:keepNext/>
        <w:pBdr>
          <w:bottom w:val="single" w:sz="6" w:space="4" w:color="1F3864"/>
        </w:pBdr>
        <w:spacing w:before="400" w:after="200"/>
        <w:rPr>
          <w:color w:val="000000" w:themeColor="text1"/>
        </w:rPr>
      </w:pPr>
      <w:r w:rsidRPr="00013C6E">
        <w:rPr>
          <w:b/>
          <w:bCs/>
          <w:color w:val="000000" w:themeColor="text1"/>
          <w:sz w:val="28"/>
          <w:szCs w:val="28"/>
        </w:rPr>
        <w:t>7. Conclusion</w:t>
      </w:r>
    </w:p>
    <w:p w14:paraId="0309C4BE" w14:textId="77777777" w:rsidR="00160E67" w:rsidRPr="00013C6E" w:rsidRDefault="00000000">
      <w:pPr>
        <w:keepNext/>
        <w:spacing w:before="240" w:after="120"/>
        <w:rPr>
          <w:color w:val="000000" w:themeColor="text1"/>
        </w:rPr>
      </w:pPr>
      <w:r w:rsidRPr="00013C6E">
        <w:rPr>
          <w:b/>
          <w:bCs/>
          <w:color w:val="000000" w:themeColor="text1"/>
          <w:sz w:val="24"/>
          <w:szCs w:val="24"/>
        </w:rPr>
        <w:t>7.1 Personal Learning and Observations</w:t>
      </w:r>
    </w:p>
    <w:p w14:paraId="28CD532A" w14:textId="77777777" w:rsidR="00160E67" w:rsidRPr="00013C6E" w:rsidRDefault="00000000">
      <w:pPr>
        <w:spacing w:after="160" w:line="300" w:lineRule="auto"/>
        <w:jc w:val="both"/>
        <w:rPr>
          <w:color w:val="000000" w:themeColor="text1"/>
        </w:rPr>
      </w:pPr>
      <w:r w:rsidRPr="00013C6E">
        <w:rPr>
          <w:color w:val="000000" w:themeColor="text1"/>
          <w:sz w:val="24"/>
          <w:szCs w:val="24"/>
        </w:rPr>
        <w:t>Studying ICICI Bank Ltd. v. Shanti Devi Sharma &amp; Ors. helped me understand that having a valid contract, like a loan agreement, does not give a business unlimited freedom in how it enforces that contract. Even when a borrower is genuinely at fault for defaulting, the law still requires the lender to act within proper legal boundaries, and cannot allow force, threats, or harassment to be used in the name of debt recovery. I found it especially important that the Court held the bank responsible for its recovery agents' actions, rather than allowing the bank to hide behind the excuse that it had merely outsourced the task to someone else. This case also showed me how consumer protection law and constitutional rights (like the right to life and dignity) can come together to hold even large financial institutions accountable for the human impact of their business practices. As someone studying fintech, I think this case is a strong reminder that as lending becomes faster and more digital, the responsibility to treat borrowers fairly and lawfully becomes even more important, not less - technology and outsourcing should never become an excuse to avoid ethical and legal accountability.</w:t>
      </w:r>
    </w:p>
    <w:sectPr w:rsidR="00160E67" w:rsidRPr="00013C6E" w:rsidSect="00013C6E">
      <w:headerReference w:type="default" r:id="rId7"/>
      <w:footerReference w:type="default" r:id="rId8"/>
      <w:pgSz w:w="12240" w:h="15840"/>
      <w:pgMar w:top="751"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05078" w14:textId="77777777" w:rsidR="009708FD" w:rsidRDefault="009708FD">
      <w:r>
        <w:separator/>
      </w:r>
    </w:p>
  </w:endnote>
  <w:endnote w:type="continuationSeparator" w:id="0">
    <w:p w14:paraId="1916340F" w14:textId="77777777" w:rsidR="009708FD" w:rsidRDefault="00970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7B55" w14:textId="77777777" w:rsidR="00160E67"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13C6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0C6E1" w14:textId="77777777" w:rsidR="009708FD" w:rsidRDefault="009708FD">
      <w:r>
        <w:separator/>
      </w:r>
    </w:p>
  </w:footnote>
  <w:footnote w:type="continuationSeparator" w:id="0">
    <w:p w14:paraId="31079CF0" w14:textId="77777777" w:rsidR="009708FD" w:rsidRDefault="00970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102D" w14:textId="2058281B" w:rsidR="00160E67" w:rsidRDefault="00160E6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E0D5B"/>
    <w:multiLevelType w:val="hybridMultilevel"/>
    <w:tmpl w:val="6D9A3502"/>
    <w:lvl w:ilvl="0" w:tplc="19AAEC5E">
      <w:start w:val="1"/>
      <w:numFmt w:val="bullet"/>
      <w:lvlText w:val="●"/>
      <w:lvlJc w:val="left"/>
      <w:pPr>
        <w:ind w:left="720" w:hanging="360"/>
      </w:pPr>
    </w:lvl>
    <w:lvl w:ilvl="1" w:tplc="5BC2746A">
      <w:start w:val="1"/>
      <w:numFmt w:val="bullet"/>
      <w:lvlText w:val="○"/>
      <w:lvlJc w:val="left"/>
      <w:pPr>
        <w:ind w:left="1440" w:hanging="360"/>
      </w:pPr>
    </w:lvl>
    <w:lvl w:ilvl="2" w:tplc="A9FCABA4">
      <w:start w:val="1"/>
      <w:numFmt w:val="bullet"/>
      <w:lvlText w:val="■"/>
      <w:lvlJc w:val="left"/>
      <w:pPr>
        <w:ind w:left="2160" w:hanging="360"/>
      </w:pPr>
    </w:lvl>
    <w:lvl w:ilvl="3" w:tplc="3AE0F2C8">
      <w:start w:val="1"/>
      <w:numFmt w:val="bullet"/>
      <w:lvlText w:val="●"/>
      <w:lvlJc w:val="left"/>
      <w:pPr>
        <w:ind w:left="2880" w:hanging="360"/>
      </w:pPr>
    </w:lvl>
    <w:lvl w:ilvl="4" w:tplc="9CD8983A">
      <w:start w:val="1"/>
      <w:numFmt w:val="bullet"/>
      <w:lvlText w:val="○"/>
      <w:lvlJc w:val="left"/>
      <w:pPr>
        <w:ind w:left="3600" w:hanging="360"/>
      </w:pPr>
    </w:lvl>
    <w:lvl w:ilvl="5" w:tplc="616E3850">
      <w:start w:val="1"/>
      <w:numFmt w:val="bullet"/>
      <w:lvlText w:val="■"/>
      <w:lvlJc w:val="left"/>
      <w:pPr>
        <w:ind w:left="4320" w:hanging="360"/>
      </w:pPr>
    </w:lvl>
    <w:lvl w:ilvl="6" w:tplc="D206CCD2">
      <w:start w:val="1"/>
      <w:numFmt w:val="bullet"/>
      <w:lvlText w:val="●"/>
      <w:lvlJc w:val="left"/>
      <w:pPr>
        <w:ind w:left="5040" w:hanging="360"/>
      </w:pPr>
    </w:lvl>
    <w:lvl w:ilvl="7" w:tplc="3612AD26">
      <w:start w:val="1"/>
      <w:numFmt w:val="bullet"/>
      <w:lvlText w:val="●"/>
      <w:lvlJc w:val="left"/>
      <w:pPr>
        <w:ind w:left="5760" w:hanging="360"/>
      </w:pPr>
    </w:lvl>
    <w:lvl w:ilvl="8" w:tplc="0BF28BB8">
      <w:start w:val="1"/>
      <w:numFmt w:val="bullet"/>
      <w:lvlText w:val="●"/>
      <w:lvlJc w:val="left"/>
      <w:pPr>
        <w:ind w:left="6480" w:hanging="360"/>
      </w:pPr>
    </w:lvl>
  </w:abstractNum>
  <w:num w:numId="1" w16cid:durableId="237791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E67"/>
    <w:rsid w:val="00013C6E"/>
    <w:rsid w:val="00160E67"/>
    <w:rsid w:val="00221428"/>
    <w:rsid w:val="009708FD"/>
    <w:rsid w:val="00F447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A925E"/>
  <w15:docId w15:val="{5D3F0582-BE5A-452E-AB16-FDC342865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3C6E"/>
    <w:pPr>
      <w:tabs>
        <w:tab w:val="center" w:pos="4513"/>
        <w:tab w:val="right" w:pos="9026"/>
      </w:tabs>
    </w:pPr>
  </w:style>
  <w:style w:type="character" w:customStyle="1" w:styleId="HeaderChar">
    <w:name w:val="Header Char"/>
    <w:basedOn w:val="DefaultParagraphFont"/>
    <w:link w:val="Header"/>
    <w:uiPriority w:val="99"/>
    <w:rsid w:val="00013C6E"/>
  </w:style>
  <w:style w:type="paragraph" w:styleId="Footer">
    <w:name w:val="footer"/>
    <w:basedOn w:val="Normal"/>
    <w:link w:val="FooterChar"/>
    <w:uiPriority w:val="99"/>
    <w:unhideWhenUsed/>
    <w:rsid w:val="00013C6E"/>
    <w:pPr>
      <w:tabs>
        <w:tab w:val="center" w:pos="4513"/>
        <w:tab w:val="right" w:pos="9026"/>
      </w:tabs>
    </w:pPr>
  </w:style>
  <w:style w:type="character" w:customStyle="1" w:styleId="FooterChar">
    <w:name w:val="Footer Char"/>
    <w:basedOn w:val="DefaultParagraphFont"/>
    <w:link w:val="Footer"/>
    <w:uiPriority w:val="99"/>
    <w:rsid w:val="00013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1747</Words>
  <Characters>9960</Characters>
  <Application>Microsoft Office Word</Application>
  <DocSecurity>0</DocSecurity>
  <Lines>83</Lines>
  <Paragraphs>23</Paragraphs>
  <ScaleCrop>false</ScaleCrop>
  <Company/>
  <LinksUpToDate>false</LinksUpToDate>
  <CharactersWithSpaces>11684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Pavithran D</cp:lastModifiedBy>
  <cp:revision>3</cp:revision>
  <dcterms:created xsi:type="dcterms:W3CDTF">2026-09-25T03:40:00Z</dcterms:created>
  <dcterms:modified xsi:type="dcterms:W3CDTF">2026-09-25T03:40:00Z</dcterms:modified>
</cp:coreProperties>
</file>