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AML Transaction &amp; Fraud Analysis – Business Insight Report</w:t>
      </w:r>
    </w:p>
    <w:p>
      <w:pPr>
        <w:keepNext/>
        <w:spacing w:after="80" w:before="160"/>
        <w:jc w:val="left"/>
      </w:pPr>
      <w:r>
        <w:rPr>
          <w:rFonts w:ascii="Times New Roman" w:cs="Times New Roman" w:eastAsia="Times New Roman" w:hAnsi="Times New Roman"/>
          <w:b/>
          <w:bCs/>
          <w:sz w:val="28"/>
          <w:szCs w:val="28"/>
        </w:rPr>
        <w:t xml:space="preserve">1. Title Page and Dashboard Screenshot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300" w:hRule="exact"/>
        </w:trPr>
        <w:tc>
          <w:tcPr>
            <w:tcW w:type="dxa" w:w="9026"/>
            <w:tcBorders>
              <w:top w:val="dashed" w:color="7F7F7F" w:sz="8"/>
              <w:left w:val="dashed" w:color="7F7F7F" w:sz="8"/>
              <w:bottom w:val="dashed" w:color="7F7F7F" w:sz="8"/>
              <w:right w:val="dashed" w:color="7F7F7F" w:sz="8"/>
            </w:tcBorders>
            <w:shd w:fill="F2F2F2" w:color="auto" w:val="clear"/>
            <w:vAlign w:val="center"/>
          </w:tcPr>
          <w:p>
            <w:pPr>
              <w:jc w:val="center"/>
            </w:pPr>
            <w:r>
              <w:rPr>
                <w:rFonts w:ascii="Times New Roman" w:cs="Times New Roman" w:eastAsia="Times New Roman" w:hAnsi="Times New Roman"/>
                <w:b/>
                <w:bCs/>
                <w:color w:val="595959"/>
                <w:sz w:val="26"/>
                <w:szCs w:val="26"/>
              </w:rPr>
              <w:t xml:space="preserve">[ PASTE FULL DASHBOARD SCREENSHOT HERE ]</w:t>
            </w:r>
          </w:p>
          <w:p>
            <w:pPr>
              <w:jc w:val="center"/>
            </w:pPr>
            <w:r>
              <w:rPr>
                <w:rFonts w:ascii="Times New Roman" w:cs="Times New Roman" w:eastAsia="Times New Roman" w:hAnsi="Times New Roman"/>
                <w:i/>
                <w:iCs/>
                <w:color w:val="595959"/>
                <w:sz w:val="20"/>
                <w:szCs w:val="20"/>
              </w:rPr>
              <w:t xml:space="preserve">Power BI page: INTERACTIVE DASHBOARD (DATASET5.pbix)</w:t>
            </w:r>
          </w:p>
        </w:tc>
      </w:tr>
    </w:tbl>
    <w:p>
      <w:pPr>
        <w:spacing w:after="60"/>
      </w:pPr>
    </w:p>
    <w:p>
      <w:pPr>
        <w:spacing w:after="100" w:line="252"/>
        <w:jc w:val="both"/>
      </w:pPr>
      <w:r>
        <w:rPr>
          <w:rFonts w:ascii="Times New Roman" w:cs="Times New Roman" w:eastAsia="Times New Roman" w:hAnsi="Times New Roman"/>
          <w:sz w:val="24"/>
          <w:szCs w:val="24"/>
        </w:rPr>
        <w:t xml:space="preserve">The dashboard presents Anti-Money Laundering (AML) transactions, fraud status, transaction activity over time, and alert types through KPI cards, a pie chart, bar charts, a line chart, and interactive filters. Together, these elements are intended to help identify activity that may be suspicious and may require further review.</w:t>
      </w:r>
    </w:p>
    <w:p>
      <w:pPr>
        <w:keepNext/>
        <w:spacing w:after="80" w:before="160"/>
        <w:jc w:val="left"/>
      </w:pPr>
      <w:r>
        <w:rPr>
          <w:rFonts w:ascii="Times New Roman" w:cs="Times New Roman" w:eastAsia="Times New Roman" w:hAnsi="Times New Roman"/>
          <w:b/>
          <w:bCs/>
          <w:sz w:val="28"/>
          <w:szCs w:val="28"/>
        </w:rPr>
        <w:t xml:space="preserve">2. Overview of the AML Dataset</w:t>
      </w:r>
    </w:p>
    <w:p>
      <w:pPr>
        <w:spacing w:after="100" w:line="252"/>
        <w:jc w:val="both"/>
      </w:pPr>
      <w:r>
        <w:rPr>
          <w:rFonts w:ascii="Times New Roman" w:cs="Times New Roman" w:eastAsia="Times New Roman" w:hAnsi="Times New Roman"/>
          <w:sz w:val="24"/>
          <w:szCs w:val="24"/>
        </w:rPr>
        <w:t xml:space="preserve">The dataset contains account, transaction, and alert records from an AML monitoring environment, covering 10,000 accounts and approximately 1.32 million transactions. Its purpose is to help analysts understand the proportion of transactions classified as fraudulent, how activity changes over time, and which alert patterns are most frequently generated. The key fields used in this analysis are:</w:t>
      </w:r>
    </w:p>
    <w:p>
      <w:pPr>
        <w:pStyle w:val="ListParagraph"/>
        <w:numPr>
          <w:ilvl w:val="0"/>
          <w:numId w:val="2"/>
        </w:numPr>
        <w:spacing w:after="40" w:line="252"/>
        <w:jc w:val="both"/>
      </w:pPr>
      <w:r>
        <w:rPr>
          <w:rFonts w:ascii="Courier New" w:cs="Courier New" w:eastAsia="Courier New" w:hAnsi="Courier New"/>
          <w:b/>
          <w:bCs/>
          <w:color w:val="0B5D1E"/>
          <w:sz w:val="22"/>
          <w:szCs w:val="22"/>
          <w:shd w:fill="B7E4C7" w:color="auto" w:val="clear"/>
        </w:rPr>
        <w:t xml:space="preserve">IS_FRAUD</w:t>
      </w:r>
      <w:r>
        <w:rPr>
          <w:rFonts w:ascii="Times New Roman" w:cs="Times New Roman" w:eastAsia="Times New Roman" w:hAnsi="Times New Roman"/>
          <w:sz w:val="24"/>
          <w:szCs w:val="24"/>
        </w:rPr>
        <w:t xml:space="preserve"> – indicates whether a transaction is classified as fraudulent (True) or not (False).</w:t>
      </w:r>
    </w:p>
    <w:p>
      <w:pPr>
        <w:pStyle w:val="ListParagraph"/>
        <w:numPr>
          <w:ilvl w:val="0"/>
          <w:numId w:val="2"/>
        </w:numPr>
        <w:spacing w:after="40" w:line="252"/>
        <w:jc w:val="both"/>
      </w:pPr>
      <w:r>
        <w:rPr>
          <w:rFonts w:ascii="Courier New" w:cs="Courier New" w:eastAsia="Courier New" w:hAnsi="Courier New"/>
          <w:b/>
          <w:bCs/>
          <w:color w:val="0B5D1E"/>
          <w:sz w:val="22"/>
          <w:szCs w:val="22"/>
          <w:shd w:fill="B7E4C7" w:color="auto" w:val="clear"/>
        </w:rPr>
        <w:t xml:space="preserve">TIMESTAMP</w:t>
      </w:r>
      <w:r>
        <w:rPr>
          <w:rFonts w:ascii="Times New Roman" w:cs="Times New Roman" w:eastAsia="Times New Roman" w:hAnsi="Times New Roman"/>
          <w:sz w:val="24"/>
          <w:szCs w:val="24"/>
        </w:rPr>
        <w:t xml:space="preserve"> – records the time of activity and supports the time-based line chart.</w:t>
      </w:r>
    </w:p>
    <w:p>
      <w:pPr>
        <w:pStyle w:val="ListParagraph"/>
        <w:numPr>
          <w:ilvl w:val="0"/>
          <w:numId w:val="2"/>
        </w:numPr>
        <w:spacing w:after="40" w:line="252"/>
        <w:jc w:val="both"/>
      </w:pPr>
      <w:r>
        <w:rPr>
          <w:rFonts w:ascii="Courier New" w:cs="Courier New" w:eastAsia="Courier New" w:hAnsi="Courier New"/>
          <w:b/>
          <w:bCs/>
          <w:color w:val="0B5D1E"/>
          <w:sz w:val="22"/>
          <w:szCs w:val="22"/>
          <w:shd w:fill="B7E4C7" w:color="auto" w:val="clear"/>
        </w:rPr>
        <w:t xml:space="preserve">ALERT_ID</w:t>
      </w:r>
      <w:r>
        <w:rPr>
          <w:rFonts w:ascii="Times New Roman" w:cs="Times New Roman" w:eastAsia="Times New Roman" w:hAnsi="Times New Roman"/>
          <w:sz w:val="24"/>
          <w:szCs w:val="24"/>
        </w:rPr>
        <w:t xml:space="preserve"> – identifies each alert generated by the monitoring process.</w:t>
      </w:r>
    </w:p>
    <w:p>
      <w:pPr>
        <w:pStyle w:val="ListParagraph"/>
        <w:numPr>
          <w:ilvl w:val="0"/>
          <w:numId w:val="2"/>
        </w:numPr>
        <w:spacing w:after="40" w:line="252"/>
        <w:jc w:val="both"/>
      </w:pPr>
      <w:r>
        <w:rPr>
          <w:rFonts w:ascii="Courier New" w:cs="Courier New" w:eastAsia="Courier New" w:hAnsi="Courier New"/>
          <w:b/>
          <w:bCs/>
          <w:color w:val="0B5D1E"/>
          <w:sz w:val="22"/>
          <w:szCs w:val="22"/>
          <w:shd w:fill="B7E4C7" w:color="auto" w:val="clear"/>
        </w:rPr>
        <w:t xml:space="preserve">ALERT_TYPE</w:t>
      </w:r>
      <w:r>
        <w:rPr>
          <w:rFonts w:ascii="Times New Roman" w:cs="Times New Roman" w:eastAsia="Times New Roman" w:hAnsi="Times New Roman"/>
          <w:sz w:val="24"/>
          <w:szCs w:val="24"/>
        </w:rPr>
        <w:t xml:space="preserve"> – categorises alerts by pattern, such as cycle and fan-in.</w:t>
      </w:r>
    </w:p>
    <w:p>
      <w:pPr>
        <w:keepNext/>
        <w:pageBreakBefore/>
        <w:spacing w:after="80" w:before="0"/>
        <w:jc w:val="left"/>
      </w:pPr>
      <w:r>
        <w:rPr>
          <w:rFonts w:ascii="Times New Roman" w:cs="Times New Roman" w:eastAsia="Times New Roman" w:hAnsi="Times New Roman"/>
          <w:b/>
          <w:bCs/>
          <w:sz w:val="28"/>
          <w:szCs w:val="28"/>
        </w:rPr>
        <w:t xml:space="preserve">3. KPI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KPI</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b/>
                <w:bCs/>
                <w:sz w:val="22"/>
                <w:szCs w:val="22"/>
              </w:rPr>
              <w:t xml:space="preserve">Dashboard Value</w:t>
            </w:r>
          </w:p>
        </w:tc>
        <w:tc>
          <w:tcPr>
            <w:tcW w:type="dxa" w:w="50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Interpretation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Fraudulent Transactions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sz w:val="22"/>
                <w:szCs w:val="22"/>
              </w:rPr>
              <w:t xml:space="preserve">1,719</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both"/>
            </w:pPr>
            <w:r>
              <w:rPr>
                <w:rFonts w:ascii="Times New Roman" w:cs="Times New Roman" w:eastAsia="Times New Roman" w:hAnsi="Times New Roman"/>
                <w:sz w:val="22"/>
                <w:szCs w:val="22"/>
              </w:rPr>
              <w:t xml:space="preserve">Number of transactions classified as fraudulent under </w:t>
            </w:r>
            <w:r>
              <w:rPr>
                <w:rFonts w:ascii="Courier New" w:cs="Courier New" w:eastAsia="Courier New" w:hAnsi="Courier New"/>
                <w:color w:val="1F4E79"/>
                <w:sz w:val="20"/>
                <w:szCs w:val="20"/>
              </w:rPr>
              <w:t xml:space="preserve">IS_FRAUD</w:t>
            </w:r>
            <w:r>
              <w:rPr>
                <w:rFonts w:ascii="Times New Roman" w:cs="Times New Roman" w:eastAsia="Times New Roman" w:hAnsi="Times New Roman"/>
                <w:sz w:val="22"/>
                <w:szCs w:val="22"/>
              </w:rPr>
              <w:t xml:space="preserve">. This is a small share of total activity, but each flagged item may require investigation and review.</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Total Transaction Amount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sz w:val="22"/>
                <w:szCs w:val="22"/>
              </w:rPr>
              <w:t xml:space="preserve">153.48 billion</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both"/>
            </w:pPr>
            <w:r>
              <w:rPr>
                <w:rFonts w:ascii="Times New Roman" w:cs="Times New Roman" w:eastAsia="Times New Roman" w:hAnsi="Times New Roman"/>
                <w:sz w:val="22"/>
                <w:szCs w:val="22"/>
              </w:rPr>
              <w:t xml:space="preserve">Indicates the very large value of funds moving through the dataset, so even a small flagged portion may carry significant financial exposure.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Total Transactions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sz w:val="22"/>
                <w:szCs w:val="22"/>
              </w:rPr>
              <w:t xml:space="preserve">1.32 million</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both"/>
            </w:pPr>
            <w:r>
              <w:rPr>
                <w:rFonts w:ascii="Times New Roman" w:cs="Times New Roman" w:eastAsia="Times New Roman" w:hAnsi="Times New Roman"/>
                <w:sz w:val="22"/>
                <w:szCs w:val="22"/>
              </w:rPr>
              <w:t xml:space="preserve">Indicates a high volume of activity, which makes manual review impractical and supports the use of automated alerts.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Total Accounts</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sz w:val="22"/>
                <w:szCs w:val="22"/>
              </w:rPr>
              <w:t xml:space="preserve">10,000</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both"/>
            </w:pPr>
            <w:r>
              <w:rPr>
                <w:rFonts w:ascii="Times New Roman" w:cs="Times New Roman" w:eastAsia="Times New Roman" w:hAnsi="Times New Roman"/>
                <w:sz w:val="22"/>
                <w:szCs w:val="22"/>
              </w:rPr>
              <w:t xml:space="preserve">Number of distinct accounts in the dataset; helps assess how widely activity and alerts are spread across the account base.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sz w:val="22"/>
                <w:szCs w:val="22"/>
              </w:rPr>
              <w:t xml:space="preserve">Average Transaction Amount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center"/>
            </w:pPr>
            <w:r>
              <w:rPr>
                <w:rFonts w:ascii="Times New Roman" w:cs="Times New Roman" w:eastAsia="Times New Roman" w:hAnsi="Times New Roman"/>
                <w:sz w:val="22"/>
                <w:szCs w:val="22"/>
              </w:rPr>
              <w:t xml:space="preserve">115.99K</w:t>
            </w:r>
          </w:p>
        </w:tc>
        <w:tc>
          <w:tcPr>
            <w:tcW w:type="dxa" w:w="50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0" w:line="240"/>
              <w:jc w:val="both"/>
            </w:pPr>
            <w:r>
              <w:rPr>
                <w:rFonts w:ascii="Times New Roman" w:cs="Times New Roman" w:eastAsia="Times New Roman" w:hAnsi="Times New Roman"/>
                <w:sz w:val="22"/>
                <w:szCs w:val="22"/>
              </w:rPr>
              <w:t xml:space="preserve">Indicates the typical transaction size; transactions well above this level may be considered for risk-based review.</w:t>
            </w:r>
          </w:p>
        </w:tc>
      </w:tr>
    </w:tbl>
    <w:p>
      <w:pPr>
        <w:spacing w:after="60"/>
      </w:pPr>
    </w:p>
    <w:p>
      <w:pPr>
        <w:spacing w:after="100" w:line="252"/>
        <w:jc w:val="both"/>
      </w:pPr>
      <w:r>
        <w:rPr>
          <w:rFonts w:ascii="Times New Roman" w:cs="Times New Roman" w:eastAsia="Times New Roman" w:hAnsi="Times New Roman"/>
          <w:sz w:val="24"/>
          <w:szCs w:val="24"/>
        </w:rPr>
        <w:t xml:space="preserve">Summary: The KPIs indicate a high-volume, high-value environment in which a very small share of transactions is classified as fraudulent. Such flagged transactions should still be reviewed because of the large amounts involved.</w:t>
      </w:r>
    </w:p>
    <w:p>
      <w:pPr>
        <w:spacing w:after="100" w:line="252"/>
        <w:jc w:val="both"/>
      </w:pPr>
      <w:r>
        <w:rPr>
          <w:rFonts w:ascii="Times New Roman" w:cs="Times New Roman" w:eastAsia="Times New Roman" w:hAnsi="Times New Roman"/>
          <w:b/>
          <w:bCs/>
          <w:i/>
          <w:iCs/>
          <w:sz w:val="24"/>
          <w:szCs w:val="24"/>
        </w:rPr>
        <w:t xml:space="preserve">Note: KPI values are based on the supplied screenshot. The underlying calculations and aggregation settings should be verified before using them for formal reporting.</w:t>
      </w:r>
    </w:p>
    <w:p>
      <w:pPr>
        <w:keepNext/>
        <w:spacing w:after="80" w:before="160"/>
        <w:jc w:val="left"/>
      </w:pPr>
      <w:r>
        <w:rPr>
          <w:rFonts w:ascii="Times New Roman" w:cs="Times New Roman" w:eastAsia="Times New Roman" w:hAnsi="Times New Roman"/>
          <w:b/>
          <w:bCs/>
          <w:sz w:val="28"/>
          <w:szCs w:val="28"/>
        </w:rPr>
        <w:t xml:space="preserve">4. Fraud Status Analysis</w:t>
      </w:r>
    </w:p>
    <w:p>
      <w:pPr>
        <w:spacing w:after="100" w:line="252"/>
        <w:jc w:val="both"/>
      </w:pPr>
      <w:r>
        <w:rPr>
          <w:rFonts w:ascii="Times New Roman" w:cs="Times New Roman" w:eastAsia="Times New Roman" w:hAnsi="Times New Roman"/>
          <w:sz w:val="24"/>
          <w:szCs w:val="24"/>
        </w:rPr>
        <w:t xml:space="preserve">The pie chart (donut style) based on </w:t>
      </w:r>
      <w:r>
        <w:rPr>
          <w:rFonts w:ascii="Courier New" w:cs="Courier New" w:eastAsia="Courier New" w:hAnsi="Courier New"/>
          <w:b w:val="false"/>
          <w:bCs w:val="false"/>
          <w:color w:val="1F4E79"/>
          <w:sz w:val="22"/>
          <w:szCs w:val="22"/>
        </w:rPr>
        <w:t xml:space="preserve">IS_FRAUD</w:t>
      </w:r>
      <w:r>
        <w:rPr>
          <w:rFonts w:ascii="Times New Roman" w:cs="Times New Roman" w:eastAsia="Times New Roman" w:hAnsi="Times New Roman"/>
          <w:sz w:val="24"/>
          <w:szCs w:val="24"/>
        </w:rPr>
        <w:t xml:space="preserve"> shows that transactions classified as False account for approximately 99.87%, while those classified as True account for approximately 0.13%. The bar chart showing total transaction amount by fraud status compares the value associated with each </w:t>
      </w:r>
      <w:r>
        <w:rPr>
          <w:rFonts w:ascii="Courier New" w:cs="Courier New" w:eastAsia="Courier New" w:hAnsi="Courier New"/>
          <w:b w:val="false"/>
          <w:bCs w:val="false"/>
          <w:color w:val="1F4E79"/>
          <w:sz w:val="22"/>
          <w:szCs w:val="22"/>
        </w:rPr>
        <w:t xml:space="preserve">IS_FRAUD</w:t>
      </w:r>
      <w:r>
        <w:rPr>
          <w:rFonts w:ascii="Times New Roman" w:cs="Times New Roman" w:eastAsia="Times New Roman" w:hAnsi="Times New Roman"/>
          <w:sz w:val="24"/>
          <w:szCs w:val="24"/>
        </w:rPr>
        <w:t xml:space="preserve"> category, which helps assess financial exposure in addition to transaction counts.</w:t>
      </w:r>
    </w:p>
    <w:p>
      <w:pPr>
        <w:spacing w:after="100" w:line="252"/>
        <w:jc w:val="both"/>
      </w:pPr>
      <w:r>
        <w:rPr>
          <w:rFonts w:ascii="Times New Roman" w:cs="Times New Roman" w:eastAsia="Times New Roman" w:hAnsi="Times New Roman"/>
          <w:b/>
          <w:bCs/>
          <w:i/>
          <w:iCs/>
          <w:sz w:val="24"/>
          <w:szCs w:val="24"/>
        </w:rPr>
        <w:t xml:space="preserve">Insight: </w:t>
      </w:r>
      <w:r>
        <w:rPr>
          <w:rFonts w:ascii="Times New Roman" w:cs="Times New Roman" w:eastAsia="Times New Roman" w:hAnsi="Times New Roman"/>
          <w:i/>
          <w:iCs/>
          <w:sz w:val="24"/>
          <w:szCs w:val="24"/>
        </w:rPr>
        <w:t xml:space="preserve">A low percentage does not mean low risk. A small number of transactions classified as fraudulent may still involve significant value and should be reviewed.</w:t>
      </w:r>
    </w:p>
    <w:p>
      <w:pPr>
        <w:keepNext/>
        <w:spacing w:after="80" w:before="160"/>
        <w:jc w:val="left"/>
      </w:pPr>
      <w:r>
        <w:rPr>
          <w:rFonts w:ascii="Times New Roman" w:cs="Times New Roman" w:eastAsia="Times New Roman" w:hAnsi="Times New Roman"/>
          <w:b/>
          <w:bCs/>
          <w:sz w:val="28"/>
          <w:szCs w:val="28"/>
        </w:rPr>
        <w:t xml:space="preserve">5. Transaction Activity Analysis</w:t>
      </w:r>
    </w:p>
    <w:p>
      <w:pPr>
        <w:spacing w:after="100" w:line="252"/>
        <w:jc w:val="both"/>
      </w:pPr>
      <w:r>
        <w:rPr>
          <w:rFonts w:ascii="Times New Roman" w:cs="Times New Roman" w:eastAsia="Times New Roman" w:hAnsi="Times New Roman"/>
          <w:sz w:val="24"/>
          <w:szCs w:val="24"/>
        </w:rPr>
        <w:t xml:space="preserve">The line chart by </w:t>
      </w:r>
      <w:r>
        <w:rPr>
          <w:rFonts w:ascii="Courier New" w:cs="Courier New" w:eastAsia="Courier New" w:hAnsi="Courier New"/>
          <w:b w:val="false"/>
          <w:bCs w:val="false"/>
          <w:color w:val="1F4E79"/>
          <w:sz w:val="22"/>
          <w:szCs w:val="22"/>
        </w:rPr>
        <w:t xml:space="preserve">TIMESTAMP</w:t>
      </w:r>
      <w:r>
        <w:rPr>
          <w:rFonts w:ascii="Times New Roman" w:cs="Times New Roman" w:eastAsia="Times New Roman" w:hAnsi="Times New Roman"/>
          <w:sz w:val="24"/>
          <w:szCs w:val="24"/>
        </w:rPr>
        <w:t xml:space="preserve"> shows an initial increase in transaction activity, after which the volume fluctuates at roughly 6,000–7,000 transactions per period. The fluctuations indicate that activity is not constant and that individual periods may differ from the general pattern.</w:t>
      </w:r>
    </w:p>
    <w:p>
      <w:pPr>
        <w:spacing w:after="100" w:line="252"/>
        <w:jc w:val="both"/>
      </w:pPr>
      <w:r>
        <w:rPr>
          <w:rFonts w:ascii="Times New Roman" w:cs="Times New Roman" w:eastAsia="Times New Roman" w:hAnsi="Times New Roman"/>
          <w:b/>
          <w:bCs/>
          <w:i/>
          <w:iCs/>
          <w:sz w:val="24"/>
          <w:szCs w:val="24"/>
        </w:rPr>
        <w:t xml:space="preserve">Insight: </w:t>
      </w:r>
      <w:r>
        <w:rPr>
          <w:rFonts w:ascii="Times New Roman" w:cs="Times New Roman" w:eastAsia="Times New Roman" w:hAnsi="Times New Roman"/>
          <w:i/>
          <w:iCs/>
          <w:sz w:val="24"/>
          <w:szCs w:val="24"/>
        </w:rPr>
        <w:t xml:space="preserve">Time-based analysis helps identify unusual patterns, and periods that deviate from the typical range may require investigation.</w:t>
      </w:r>
    </w:p>
    <w:p>
      <w:pPr>
        <w:keepNext/>
        <w:spacing w:after="80" w:before="160"/>
        <w:jc w:val="left"/>
      </w:pPr>
      <w:r>
        <w:rPr>
          <w:rFonts w:ascii="Times New Roman" w:cs="Times New Roman" w:eastAsia="Times New Roman" w:hAnsi="Times New Roman"/>
          <w:b/>
          <w:bCs/>
          <w:sz w:val="28"/>
          <w:szCs w:val="28"/>
        </w:rPr>
        <w:t xml:space="preserve">6. Alert Analysis</w:t>
      </w:r>
    </w:p>
    <w:p>
      <w:pPr>
        <w:spacing w:after="100" w:line="252"/>
        <w:jc w:val="both"/>
      </w:pPr>
      <w:r>
        <w:rPr>
          <w:rFonts w:ascii="Times New Roman" w:cs="Times New Roman" w:eastAsia="Times New Roman" w:hAnsi="Times New Roman"/>
          <w:sz w:val="24"/>
          <w:szCs w:val="24"/>
        </w:rPr>
        <w:t xml:space="preserve">The horizontal bar chart by </w:t>
      </w:r>
      <w:r>
        <w:rPr>
          <w:rFonts w:ascii="Courier New" w:cs="Courier New" w:eastAsia="Courier New" w:hAnsi="Courier New"/>
          <w:b w:val="false"/>
          <w:bCs w:val="false"/>
          <w:color w:val="1F4E79"/>
          <w:sz w:val="22"/>
          <w:szCs w:val="22"/>
        </w:rPr>
        <w:t xml:space="preserve">ALERT_TYPE</w:t>
      </w:r>
      <w:r>
        <w:rPr>
          <w:rFonts w:ascii="Times New Roman" w:cs="Times New Roman" w:eastAsia="Times New Roman" w:hAnsi="Times New Roman"/>
          <w:sz w:val="24"/>
          <w:szCs w:val="24"/>
        </w:rPr>
        <w:t xml:space="preserve"> shows approximately 930 alerts for cycle and approximately 780 alerts for fan-in. A cycle alert indicates funds moving through a sequence of accounts, while a fan-in alert indicates funds from multiple sources converging into a single account. Cycle alerts are more frequent than fan-in alerts in the dashboard.</w:t>
      </w:r>
    </w:p>
    <w:p>
      <w:pPr>
        <w:spacing w:after="100" w:line="252"/>
        <w:jc w:val="both"/>
      </w:pPr>
      <w:r>
        <w:rPr>
          <w:rFonts w:ascii="Times New Roman" w:cs="Times New Roman" w:eastAsia="Times New Roman" w:hAnsi="Times New Roman"/>
          <w:b/>
          <w:bCs/>
          <w:i/>
          <w:iCs/>
          <w:sz w:val="24"/>
          <w:szCs w:val="24"/>
        </w:rPr>
        <w:t xml:space="preserve">Insight: </w:t>
      </w:r>
      <w:r>
        <w:rPr>
          <w:rFonts w:ascii="Times New Roman" w:cs="Times New Roman" w:eastAsia="Times New Roman" w:hAnsi="Times New Roman"/>
          <w:i/>
          <w:iCs/>
          <w:sz w:val="24"/>
          <w:szCs w:val="24"/>
        </w:rPr>
        <w:t xml:space="preserve">Both alert types need investigation, but neither is automatic proof of fraud or money laundering.</w:t>
      </w:r>
    </w:p>
    <w:p>
      <w:pPr>
        <w:keepNext/>
        <w:spacing w:after="80" w:before="160"/>
        <w:jc w:val="left"/>
      </w:pPr>
      <w:r>
        <w:rPr>
          <w:rFonts w:ascii="Times New Roman" w:cs="Times New Roman" w:eastAsia="Times New Roman" w:hAnsi="Times New Roman"/>
          <w:b/>
          <w:bCs/>
          <w:sz w:val="28"/>
          <w:szCs w:val="28"/>
        </w:rPr>
        <w:t xml:space="preserve">7. Filter-Based Analysis</w:t>
      </w:r>
    </w:p>
    <w:p>
      <w:pPr>
        <w:spacing w:after="100" w:line="252"/>
        <w:jc w:val="both"/>
      </w:pPr>
      <w:r>
        <w:rPr>
          <w:rFonts w:ascii="Times New Roman" w:cs="Times New Roman" w:eastAsia="Times New Roman" w:hAnsi="Times New Roman"/>
          <w:sz w:val="24"/>
          <w:szCs w:val="24"/>
        </w:rPr>
        <w:t xml:space="preserve">The dashboard provides two filters: </w:t>
      </w:r>
      <w:r>
        <w:rPr>
          <w:rFonts w:ascii="Courier New" w:cs="Courier New" w:eastAsia="Courier New" w:hAnsi="Courier New"/>
          <w:b w:val="false"/>
          <w:bCs w:val="false"/>
          <w:color w:val="1F4E79"/>
          <w:sz w:val="22"/>
          <w:szCs w:val="22"/>
        </w:rPr>
        <w:t xml:space="preserve">ALERT_TYPE</w:t>
      </w:r>
      <w:r>
        <w:rPr>
          <w:rFonts w:ascii="Times New Roman" w:cs="Times New Roman" w:eastAsia="Times New Roman" w:hAnsi="Times New Roman"/>
          <w:sz w:val="24"/>
          <w:szCs w:val="24"/>
        </w:rPr>
        <w:t xml:space="preserve"> (cycle, fan_in) and </w:t>
      </w:r>
      <w:r>
        <w:rPr>
          <w:rFonts w:ascii="Courier New" w:cs="Courier New" w:eastAsia="Courier New" w:hAnsi="Courier New"/>
          <w:b w:val="false"/>
          <w:bCs w:val="false"/>
          <w:color w:val="1F4E79"/>
          <w:sz w:val="22"/>
          <w:szCs w:val="22"/>
        </w:rPr>
        <w:t xml:space="preserve">IS_FRAUD</w:t>
      </w:r>
      <w:r>
        <w:rPr>
          <w:rFonts w:ascii="Times New Roman" w:cs="Times New Roman" w:eastAsia="Times New Roman" w:hAnsi="Times New Roman"/>
          <w:sz w:val="24"/>
          <w:szCs w:val="24"/>
        </w:rPr>
        <w:t xml:space="preserve"> (True/False). These filters allow analysts to focus on a specific alert pattern or fraud classification, which makes the dashboard more useful for investigation. Results should be checked to confirm that all charts and KPI cards respond correctly to each filter selection.</w:t>
      </w:r>
    </w:p>
    <w:p>
      <w:pPr>
        <w:keepNext/>
        <w:spacing w:after="80" w:before="160"/>
        <w:jc w:val="left"/>
      </w:pPr>
      <w:r>
        <w:rPr>
          <w:rFonts w:ascii="Times New Roman" w:cs="Times New Roman" w:eastAsia="Times New Roman" w:hAnsi="Times New Roman"/>
          <w:b/>
          <w:bCs/>
          <w:sz w:val="28"/>
          <w:szCs w:val="28"/>
        </w:rPr>
        <w:t xml:space="preserve">8. Key AML Insights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Low proportion of fraud: </w:t>
      </w:r>
      <w:r>
        <w:rPr>
          <w:rFonts w:ascii="Times New Roman" w:cs="Times New Roman" w:eastAsia="Times New Roman" w:hAnsi="Times New Roman"/>
          <w:sz w:val="24"/>
          <w:szCs w:val="24"/>
        </w:rPr>
        <w:t xml:space="preserve">only about 0.13% of transactions are classified as fraudulent.</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Large transaction volume: </w:t>
      </w:r>
      <w:r>
        <w:rPr>
          <w:rFonts w:ascii="Times New Roman" w:cs="Times New Roman" w:eastAsia="Times New Roman" w:hAnsi="Times New Roman"/>
          <w:sz w:val="24"/>
          <w:szCs w:val="24"/>
        </w:rPr>
        <w:t xml:space="preserve">about 1.32 million transactions make manual review impractical.</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Significant transaction value: </w:t>
      </w:r>
      <w:r>
        <w:rPr>
          <w:rFonts w:ascii="Times New Roman" w:cs="Times New Roman" w:eastAsia="Times New Roman" w:hAnsi="Times New Roman"/>
          <w:sz w:val="24"/>
          <w:szCs w:val="24"/>
        </w:rPr>
        <w:t xml:space="preserve">total value of about 153.48 billion indicates high financial exposure.</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Cycle alerts more frequent: </w:t>
      </w:r>
      <w:r>
        <w:rPr>
          <w:rFonts w:ascii="Times New Roman" w:cs="Times New Roman" w:eastAsia="Times New Roman" w:hAnsi="Times New Roman"/>
          <w:sz w:val="24"/>
          <w:szCs w:val="24"/>
        </w:rPr>
        <w:t xml:space="preserve">cycle alerts (about 930) exceed fan-in alerts (about 780).</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Fluctuating activity: </w:t>
      </w:r>
      <w:r>
        <w:rPr>
          <w:rFonts w:ascii="Times New Roman" w:cs="Times New Roman" w:eastAsia="Times New Roman" w:hAnsi="Times New Roman"/>
          <w:sz w:val="24"/>
          <w:szCs w:val="24"/>
        </w:rPr>
        <w:t xml:space="preserve">activity varies around 6,000–7,000 after an initial increase, and unusual periods may require review.</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Interactive analysis supports investigation: </w:t>
      </w:r>
      <w:r>
        <w:rPr>
          <w:rFonts w:ascii="Times New Roman" w:cs="Times New Roman" w:eastAsia="Times New Roman" w:hAnsi="Times New Roman"/>
          <w:sz w:val="24"/>
          <w:szCs w:val="24"/>
        </w:rPr>
        <w:t xml:space="preserve">filters help narrow the review to relevant alerts.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Further verification is necessary: </w:t>
      </w:r>
      <w:r>
        <w:rPr>
          <w:rFonts w:ascii="Times New Roman" w:cs="Times New Roman" w:eastAsia="Times New Roman" w:hAnsi="Times New Roman"/>
          <w:sz w:val="24"/>
          <w:szCs w:val="24"/>
        </w:rPr>
        <w:t xml:space="preserve">screenshot values and calculations should be verified before formal use.</w:t>
      </w:r>
    </w:p>
    <w:p>
      <w:pPr>
        <w:keepNext/>
        <w:spacing w:after="80" w:before="160"/>
        <w:jc w:val="left"/>
      </w:pPr>
      <w:r>
        <w:rPr>
          <w:rFonts w:ascii="Times New Roman" w:cs="Times New Roman" w:eastAsia="Times New Roman" w:hAnsi="Times New Roman"/>
          <w:b/>
          <w:bCs/>
          <w:sz w:val="28"/>
          <w:szCs w:val="28"/>
        </w:rPr>
        <w:t xml:space="preserve">9. Recommendations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Strengthen</w:t>
      </w:r>
      <w:r>
        <w:rPr>
          <w:rFonts w:ascii="Times New Roman" w:cs="Times New Roman" w:eastAsia="Times New Roman" w:hAnsi="Times New Roman"/>
          <w:sz w:val="24"/>
          <w:szCs w:val="24"/>
        </w:rPr>
        <w:t xml:space="preserve"> fraud monitoring by reviewing transactions classified under </w:t>
      </w:r>
      <w:r>
        <w:rPr>
          <w:rFonts w:ascii="Courier New" w:cs="Courier New" w:eastAsia="Courier New" w:hAnsi="Courier New"/>
          <w:b w:val="false"/>
          <w:bCs w:val="false"/>
          <w:color w:val="1F4E79"/>
          <w:sz w:val="22"/>
          <w:szCs w:val="22"/>
        </w:rPr>
        <w:t xml:space="preserve">IS_FRAUD</w:t>
      </w:r>
      <w:r>
        <w:rPr>
          <w:rFonts w:ascii="Times New Roman" w:cs="Times New Roman" w:eastAsia="Times New Roman" w:hAnsi="Times New Roman"/>
          <w:sz w:val="24"/>
          <w:szCs w:val="24"/>
        </w:rPr>
        <w:t xml:space="preserve"> = True.</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Investigate</w:t>
      </w:r>
      <w:r>
        <w:rPr>
          <w:rFonts w:ascii="Times New Roman" w:cs="Times New Roman" w:eastAsia="Times New Roman" w:hAnsi="Times New Roman"/>
          <w:sz w:val="24"/>
          <w:szCs w:val="24"/>
        </w:rPr>
        <w:t xml:space="preserve"> high-priority alerts, especially repeated cycle and fan-in patterns.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Monitor</w:t>
      </w:r>
      <w:r>
        <w:rPr>
          <w:rFonts w:ascii="Times New Roman" w:cs="Times New Roman" w:eastAsia="Times New Roman" w:hAnsi="Times New Roman"/>
          <w:sz w:val="24"/>
          <w:szCs w:val="24"/>
        </w:rPr>
        <w:t xml:space="preserve"> activity continuously, so that deviations from the usual range are reviewed promptly.</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Improve</w:t>
      </w:r>
      <w:r>
        <w:rPr>
          <w:rFonts w:ascii="Times New Roman" w:cs="Times New Roman" w:eastAsia="Times New Roman" w:hAnsi="Times New Roman"/>
          <w:sz w:val="24"/>
          <w:szCs w:val="24"/>
        </w:rPr>
        <w:t xml:space="preserve"> fraud detection rules and thresholds using insights from reviewed alerts.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Use</w:t>
      </w:r>
      <w:r>
        <w:rPr>
          <w:rFonts w:ascii="Times New Roman" w:cs="Times New Roman" w:eastAsia="Times New Roman" w:hAnsi="Times New Roman"/>
          <w:sz w:val="24"/>
          <w:szCs w:val="24"/>
        </w:rPr>
        <w:t xml:space="preserve"> risk-based investigation, prioritising higher-value or repeated cases.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Improve</w:t>
      </w:r>
      <w:r>
        <w:rPr>
          <w:rFonts w:ascii="Times New Roman" w:cs="Times New Roman" w:eastAsia="Times New Roman" w:hAnsi="Times New Roman"/>
          <w:sz w:val="24"/>
          <w:szCs w:val="24"/>
        </w:rPr>
        <w:t xml:space="preserve"> dashboard accuracy by verifying measures, aggregations, and filter behaviour.</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Maintain</w:t>
      </w:r>
      <w:r>
        <w:rPr>
          <w:rFonts w:ascii="Times New Roman" w:cs="Times New Roman" w:eastAsia="Times New Roman" w:hAnsi="Times New Roman"/>
          <w:sz w:val="24"/>
          <w:szCs w:val="24"/>
        </w:rPr>
        <w:t xml:space="preserve"> proper records of alerts, reviews, and decisions for audit purposes.</w:t>
      </w:r>
    </w:p>
    <w:p>
      <w:pPr>
        <w:pStyle w:val="ListParagraph"/>
        <w:numPr>
          <w:ilvl w:val="0"/>
          <w:numId w:val="2"/>
        </w:numPr>
        <w:spacing w:after="40" w:line="252"/>
        <w:jc w:val="both"/>
      </w:pPr>
      <w:r>
        <w:rPr>
          <w:rFonts w:ascii="Times New Roman" w:cs="Times New Roman" w:eastAsia="Times New Roman" w:hAnsi="Times New Roman"/>
          <w:b/>
          <w:bCs/>
          <w:sz w:val="24"/>
          <w:szCs w:val="24"/>
        </w:rPr>
        <w:t xml:space="preserve">Review</w:t>
      </w:r>
      <w:r>
        <w:rPr>
          <w:rFonts w:ascii="Times New Roman" w:cs="Times New Roman" w:eastAsia="Times New Roman" w:hAnsi="Times New Roman"/>
          <w:sz w:val="24"/>
          <w:szCs w:val="24"/>
        </w:rPr>
        <w:t xml:space="preserve"> false positives regularly to reduce unnecessary workload and refine alert quality.</w:t>
      </w:r>
    </w:p>
    <w:p>
      <w:pPr>
        <w:keepNext/>
        <w:spacing w:after="80" w:before="160"/>
        <w:jc w:val="left"/>
      </w:pPr>
      <w:r>
        <w:rPr>
          <w:rFonts w:ascii="Times New Roman" w:cs="Times New Roman" w:eastAsia="Times New Roman" w:hAnsi="Times New Roman"/>
          <w:b/>
          <w:bCs/>
          <w:sz w:val="28"/>
          <w:szCs w:val="28"/>
        </w:rPr>
        <w:t xml:space="preserve">10. Conclusion</w:t>
      </w:r>
    </w:p>
    <w:p>
      <w:pPr>
        <w:spacing w:after="100" w:line="252"/>
        <w:jc w:val="both"/>
      </w:pPr>
      <w:r>
        <w:rPr>
          <w:rFonts w:ascii="Times New Roman" w:cs="Times New Roman" w:eastAsia="Times New Roman" w:hAnsi="Times New Roman"/>
          <w:sz w:val="24"/>
          <w:szCs w:val="24"/>
        </w:rPr>
        <w:t xml:space="preserve">The dashboard presents a high-volume, high-value transaction environment in which approximately 0.13% of transactions are classified as fraudulent. Cycle alerts (about 930) appear more often than fan-in alerts (about 780), and transaction activity fluctuates around 6,000–7,000 after an initial increase. These observations indicate areas that may require investigation.</w:t>
      </w:r>
    </w:p>
    <w:p>
      <w:pPr>
        <w:spacing w:after="100" w:line="252"/>
        <w:jc w:val="both"/>
      </w:pPr>
      <w:r>
        <w:rPr>
          <w:rFonts w:ascii="Times New Roman" w:cs="Times New Roman" w:eastAsia="Times New Roman" w:hAnsi="Times New Roman"/>
          <w:sz w:val="24"/>
          <w:szCs w:val="24"/>
        </w:rPr>
        <w:t xml:space="preserve">The KPI cards, pie chart, bar charts, line chart, and filters together help analysts understand scale, fraud classification, timing, and alert patterns, supporting a risk-based review approach. As the KPI values are taken from the supplied screenshot, the underlying calculations and aggregation settings should be verified before formal reporting.</w:t>
      </w:r>
    </w:p>
    <w:p>
      <w:pPr>
        <w:spacing w:after="100" w:line="252"/>
        <w:jc w:val="both"/>
      </w:pPr>
      <w:r>
        <w:rPr>
          <w:rFonts w:ascii="Times New Roman" w:cs="Times New Roman" w:eastAsia="Times New Roman" w:hAnsi="Times New Roman"/>
          <w:b/>
          <w:bCs/>
          <w:i/>
          <w:iCs/>
          <w:sz w:val="24"/>
          <w:szCs w:val="24"/>
        </w:rPr>
        <w:t xml:space="preserve">Dashboard alerts are indicators for investigation, not conclusive proof of money laundering or fraud. Transactions must be reviewed in full by qualified compliance personnel before any conclusion is reached.</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Transaction &amp; Fraud Analysis – Business Insight Report</dc:title>
  <dc:creator>Pavithran</dc:creator>
  <cp:lastModifiedBy>Un-named</cp:lastModifiedBy>
  <cp:revision>1</cp:revision>
  <dcterms:created xsi:type="dcterms:W3CDTF">2026-10-23T07:48:57.365Z</dcterms:created>
  <dcterms:modified xsi:type="dcterms:W3CDTF">2026-10-23T07:48:57.366Z</dcterms:modified>
</cp:coreProperties>
</file>

<file path=docProps/custom.xml><?xml version="1.0" encoding="utf-8"?>
<Properties xmlns="http://schemas.openxmlformats.org/officeDocument/2006/custom-properties" xmlns:vt="http://schemas.openxmlformats.org/officeDocument/2006/docPropsVTypes"/>
</file>