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79"/>
          <w:sz w:val="44"/>
          <w:szCs w:val="44"/>
        </w:rPr>
        <w:t xml:space="preserve">A Comparative Study of</w:t>
      </w:r>
    </w:p>
    <w:p>
      <w:pPr>
        <w:spacing w:after="120"/>
        <w:jc w:val="center"/>
      </w:pPr>
      <w:r>
        <w:rPr>
          <w:b/>
          <w:bCs/>
          <w:color w:val="1F4E79"/>
          <w:sz w:val="44"/>
          <w:szCs w:val="44"/>
        </w:rPr>
        <w:t xml:space="preserve">Low-Code Development vs. Traditional Application Development</w:t>
      </w:r>
    </w:p>
    <w:p>
      <w:pPr>
        <w:spacing w:after="400"/>
        <w:jc w:val="center"/>
      </w:pPr>
      <w:r>
        <w:rPr>
          <w:i/>
          <w:iCs/>
          <w:color w:val="595959"/>
          <w:sz w:val="24"/>
          <w:szCs w:val="24"/>
        </w:rPr>
        <w:t xml:space="preserve">An Analysis of Speed, Cost, Flexibility, and Long-Term Value in Modern Software Delivery</w:t>
      </w:r>
    </w:p>
    <w:p>
      <w:pPr>
        <w:pBdr>
          <w:top w:val="single" w:color="1F4E79" w:sz="6"/>
        </w:pBdr>
        <w:spacing w:after="240"/>
      </w:pPr>
      <w:r>
        <w:rPr>
          <w:sz w:val="4"/>
          <w:szCs w:val="4"/>
        </w:rPr>
        <w:t xml:space="preserve"> </w:t>
      </w:r>
    </w:p>
    <w:p>
      <w:pPr>
        <w:spacing w:after="60"/>
        <w:jc w:val="center"/>
      </w:pPr>
      <w:r>
        <w:rPr>
          <w:b/>
          <w:bCs/>
          <w:color w:val="595959"/>
          <w:sz w:val="24"/>
          <w:szCs w:val="24"/>
        </w:rPr>
        <w:t xml:space="preserve">Pavithra Narayanan</w:t>
      </w:r>
    </w:p>
    <w:p>
      <w:pPr>
        <w:spacing w:after="60"/>
        <w:jc w:val="center"/>
      </w:pPr>
      <w:r>
        <w:rPr>
          <w:color w:val="595959"/>
          <w:sz w:val="22"/>
          <w:szCs w:val="22"/>
        </w:rPr>
        <w:t xml:space="preserve">241401064</w:t>
      </w:r>
    </w:p>
    <w:p>
      <w:pPr>
        <w:spacing w:after="240"/>
        <w:jc w:val="center"/>
      </w:pPr>
      <w:r>
        <w:rPr>
          <w:color w:val="595959"/>
          <w:sz w:val="22"/>
          <w:szCs w:val="22"/>
        </w:rPr>
        <w:t xml:space="preserve">CSBS</w:t>
      </w:r>
    </w:p>
    <w:p>
      <w:pPr>
        <w:pBdr>
          <w:bottom w:val="single" w:color="1F4E79" w:sz="6"/>
        </w:pBdr>
        <w:spacing w:after="600"/>
        <w:jc w:val="center"/>
      </w:pPr>
      <w:r>
        <w:rPr>
          <w:sz w:val="4"/>
          <w:szCs w:val="4"/>
        </w:rPr>
        <w:t xml:space="preserve"> </w:t>
      </w:r>
    </w:p>
    <w:p>
      <w:pPr>
        <w:pStyle w:val="Heading1"/>
        <w:spacing w:after="180" w:before="360"/>
      </w:pPr>
      <w:r>
        <w:rPr>
          <w:b/>
          <w:bCs/>
          <w:color w:val="1F4E79"/>
          <w:sz w:val="30"/>
          <w:szCs w:val="30"/>
        </w:rPr>
        <w:t xml:space="preserve">Abstract</w:t>
      </w:r>
    </w:p>
    <w:p>
      <w:pPr>
        <w:spacing w:after="160" w:line="300"/>
        <w:jc w:val="both"/>
      </w:pPr>
      <w:r>
        <w:rPr>
          <w:sz w:val="22"/>
          <w:szCs w:val="22"/>
        </w:rPr>
        <w:t xml:space="preserve">Organizations today face a fundamental decision when building software: should they use a low-code platform that accelerates delivery through visual development, or invest in traditional, fully hand-coded application development that offers maximum control and flexibility? This study examines both approaches across the dimensions that matter most to technology decision-makers — development speed, cost, required skill sets, scalability, security, maintainability, and long-term flexibility. Rather than declaring one approach universally superior, this paper presents a structured, evidence-based comparison intended to help organizations align their development strategy with their specific goals, resources, and risk tolerance. The findings suggest that low-code and traditional development are not strictly competitors but complementary tools that, when applied to the right context, together form a more resilient and adaptive software delivery strategy.</w:t>
      </w:r>
    </w:p>
    <w:p>
      <w:pPr>
        <w:pStyle w:val="Heading1"/>
        <w:spacing w:after="180" w:before="360"/>
      </w:pPr>
      <w:r>
        <w:rPr>
          <w:b/>
          <w:bCs/>
          <w:color w:val="1F4E79"/>
          <w:sz w:val="30"/>
          <w:szCs w:val="30"/>
        </w:rPr>
        <w:t xml:space="preserve">1. Introduction</w:t>
      </w:r>
    </w:p>
    <w:p>
      <w:pPr>
        <w:spacing w:after="160" w:line="300"/>
        <w:jc w:val="both"/>
      </w:pPr>
      <w:r>
        <w:rPr>
          <w:sz w:val="22"/>
          <w:szCs w:val="22"/>
        </w:rPr>
        <w:t xml:space="preserve">The software development landscape has changed dramatically over the past decade. Businesses need applications faster than ever, while the demand for skilled software engineers continues to outpace supply. This gap has fueled the rapid rise of low-code and no-code development platforms, which promise to democratize application building by allowing non-technical staff — often called "citizen developers" — to construct working software using visual interfaces rather than hand-written code.</w:t>
      </w:r>
    </w:p>
    <w:p>
      <w:pPr>
        <w:spacing w:after="160" w:line="300"/>
        <w:jc w:val="both"/>
      </w:pPr>
      <w:r>
        <w:rPr>
          <w:sz w:val="22"/>
          <w:szCs w:val="22"/>
        </w:rPr>
        <w:t xml:space="preserve">At the same time, traditional application development, where professional engineers write custom code using languages such as Java, Python, C#, or JavaScript, remains the backbone of mission-critical, large-scale, and highly specialized systems. Understanding when to use each approach, and why, has become an essential strategic question for CIOs, product managers, and engineering leaders.</w:t>
      </w:r>
    </w:p>
    <w:p>
      <w:pPr>
        <w:spacing w:after="160" w:line="300"/>
        <w:jc w:val="both"/>
      </w:pPr>
      <w:r>
        <w:rPr>
          <w:sz w:val="22"/>
          <w:szCs w:val="22"/>
        </w:rPr>
        <w:t xml:space="preserve">This report defines both approaches, compares them across critical dimensions, reviews their respective advantages and disadvantages, presents representative use cases, and offers guidance on choosing the right approach — or combination of approaches — for a given project.</w:t>
      </w:r>
    </w:p>
    <w:p>
      <w:pPr>
        <w:pStyle w:val="Heading1"/>
        <w:spacing w:after="180" w:before="360"/>
      </w:pPr>
      <w:r>
        <w:rPr>
          <w:b/>
          <w:bCs/>
          <w:color w:val="1F4E79"/>
          <w:sz w:val="30"/>
          <w:szCs w:val="30"/>
        </w:rPr>
        <w:t xml:space="preserve">2. Understanding Low-Code Development</w:t>
      </w:r>
    </w:p>
    <w:p>
      <w:pPr>
        <w:spacing w:after="160" w:line="300"/>
        <w:jc w:val="both"/>
      </w:pPr>
      <w:r>
        <w:rPr>
          <w:sz w:val="22"/>
          <w:szCs w:val="22"/>
        </w:rPr>
        <w:t xml:space="preserve">Low-code development refers to a software development approach that uses visual, model-driven tools — such as drag-and-drop interface builders, pre-built templates, and configurable workflow engines — to reduce the amount of hand-written code required to build an application. Popular low-code platforms include tools such as Microsoft Power Apps, OutSystems, Mendix, and Appian, among others.</w:t>
      </w:r>
    </w:p>
    <w:p>
      <w:pPr>
        <w:pStyle w:val="Heading2"/>
        <w:spacing w:after="140" w:before="280"/>
      </w:pPr>
      <w:r>
        <w:rPr>
          <w:b/>
          <w:bCs/>
          <w:color w:val="1F4E79"/>
          <w:sz w:val="25"/>
          <w:szCs w:val="25"/>
        </w:rPr>
        <w:t xml:space="preserve">2.1 Key Characteristics</w:t>
      </w:r>
    </w:p>
    <w:p>
      <w:pPr>
        <w:pStyle w:val="ListParagraph"/>
        <w:numPr>
          <w:ilvl w:val="0"/>
          <w:numId w:val="2"/>
        </w:numPr>
        <w:spacing w:after="90"/>
      </w:pPr>
      <w:r>
        <w:rPr>
          <w:sz w:val="22"/>
          <w:szCs w:val="22"/>
        </w:rPr>
        <w:t xml:space="preserve">Visual development environments with drag-and-drop UI builders</w:t>
      </w:r>
    </w:p>
    <w:p>
      <w:pPr>
        <w:pStyle w:val="ListParagraph"/>
        <w:numPr>
          <w:ilvl w:val="0"/>
          <w:numId w:val="2"/>
        </w:numPr>
        <w:spacing w:after="90"/>
      </w:pPr>
      <w:r>
        <w:rPr>
          <w:sz w:val="22"/>
          <w:szCs w:val="22"/>
        </w:rPr>
        <w:t xml:space="preserve">Pre-built, reusable components and templates for common business functions</w:t>
      </w:r>
    </w:p>
    <w:p>
      <w:pPr>
        <w:pStyle w:val="ListParagraph"/>
        <w:numPr>
          <w:ilvl w:val="0"/>
          <w:numId w:val="2"/>
        </w:numPr>
        <w:spacing w:after="90"/>
      </w:pPr>
      <w:r>
        <w:rPr>
          <w:sz w:val="22"/>
          <w:szCs w:val="22"/>
        </w:rPr>
        <w:t xml:space="preserve">Built-in integrations with popular enterprise systems (CRM, ERP, databases)</w:t>
      </w:r>
    </w:p>
    <w:p>
      <w:pPr>
        <w:pStyle w:val="ListParagraph"/>
        <w:numPr>
          <w:ilvl w:val="0"/>
          <w:numId w:val="2"/>
        </w:numPr>
        <w:spacing w:after="90"/>
      </w:pPr>
      <w:r>
        <w:rPr>
          <w:sz w:val="22"/>
          <w:szCs w:val="22"/>
        </w:rPr>
        <w:t xml:space="preserve">Automated deployment, hosting, and infrastructure management by the vendor</w:t>
      </w:r>
    </w:p>
    <w:p>
      <w:pPr>
        <w:pStyle w:val="ListParagraph"/>
        <w:numPr>
          <w:ilvl w:val="0"/>
          <w:numId w:val="2"/>
        </w:numPr>
        <w:spacing w:after="90"/>
      </w:pPr>
      <w:r>
        <w:rPr>
          <w:sz w:val="22"/>
          <w:szCs w:val="22"/>
        </w:rPr>
        <w:t xml:space="preserve">Support for both professional developers and citizen developers</w:t>
      </w:r>
    </w:p>
    <w:p>
      <w:pPr>
        <w:pStyle w:val="Heading2"/>
        <w:spacing w:after="140" w:before="280"/>
      </w:pPr>
      <w:r>
        <w:rPr>
          <w:b/>
          <w:bCs/>
          <w:color w:val="1F4E79"/>
          <w:sz w:val="25"/>
          <w:szCs w:val="25"/>
        </w:rPr>
        <w:t xml:space="preserve">2.2 Typical Applications</w:t>
      </w:r>
    </w:p>
    <w:p>
      <w:pPr>
        <w:spacing w:after="160" w:line="300"/>
        <w:jc w:val="both"/>
      </w:pPr>
      <w:r>
        <w:rPr>
          <w:sz w:val="22"/>
          <w:szCs w:val="22"/>
        </w:rPr>
        <w:t xml:space="preserve">Low-code platforms are frequently used to build internal business tools, workflow automation systems, approval processes, customer-facing portals with straightforward logic, and rapid prototypes or minimum viable products (MVPs) intended to validate an idea before committing to a full custom build.</w:t>
      </w:r>
    </w:p>
    <w:p>
      <w:pPr>
        <w:pStyle w:val="Heading1"/>
        <w:spacing w:after="180" w:before="360"/>
      </w:pPr>
      <w:r>
        <w:rPr>
          <w:b/>
          <w:bCs/>
          <w:color w:val="1F4E79"/>
          <w:sz w:val="30"/>
          <w:szCs w:val="30"/>
        </w:rPr>
        <w:t xml:space="preserve">3. Understanding Traditional Application Development</w:t>
      </w:r>
    </w:p>
    <w:p>
      <w:pPr>
        <w:spacing w:after="160" w:line="300"/>
        <w:jc w:val="both"/>
      </w:pPr>
      <w:r>
        <w:rPr>
          <w:sz w:val="22"/>
          <w:szCs w:val="22"/>
        </w:rPr>
        <w:t xml:space="preserve">Traditional application development is the conventional software engineering process in which developers write source code manually using programming languages and frameworks, following the full software development lifecycle: requirements gathering, design, coding, testing, deployment, and maintenance.</w:t>
      </w:r>
    </w:p>
    <w:p>
      <w:pPr>
        <w:pStyle w:val="Heading2"/>
        <w:spacing w:after="140" w:before="280"/>
      </w:pPr>
      <w:r>
        <w:rPr>
          <w:b/>
          <w:bCs/>
          <w:color w:val="1F4E79"/>
          <w:sz w:val="25"/>
          <w:szCs w:val="25"/>
        </w:rPr>
        <w:t xml:space="preserve">3.1 Key Characteristics</w:t>
      </w:r>
    </w:p>
    <w:p>
      <w:pPr>
        <w:pStyle w:val="ListParagraph"/>
        <w:numPr>
          <w:ilvl w:val="0"/>
          <w:numId w:val="2"/>
        </w:numPr>
        <w:spacing w:after="90"/>
      </w:pPr>
      <w:r>
        <w:rPr>
          <w:sz w:val="22"/>
          <w:szCs w:val="22"/>
        </w:rPr>
        <w:t xml:space="preserve">Full control over architecture, data models, and business logic</w:t>
      </w:r>
    </w:p>
    <w:p>
      <w:pPr>
        <w:pStyle w:val="ListParagraph"/>
        <w:numPr>
          <w:ilvl w:val="0"/>
          <w:numId w:val="2"/>
        </w:numPr>
        <w:spacing w:after="90"/>
      </w:pPr>
      <w:r>
        <w:rPr>
          <w:sz w:val="22"/>
          <w:szCs w:val="22"/>
        </w:rPr>
        <w:t xml:space="preserve">Custom-built user interfaces and experiences tailored precisely to requirements</w:t>
      </w:r>
    </w:p>
    <w:p>
      <w:pPr>
        <w:pStyle w:val="ListParagraph"/>
        <w:numPr>
          <w:ilvl w:val="0"/>
          <w:numId w:val="2"/>
        </w:numPr>
        <w:spacing w:after="90"/>
      </w:pPr>
      <w:r>
        <w:rPr>
          <w:sz w:val="22"/>
          <w:szCs w:val="22"/>
        </w:rPr>
        <w:t xml:space="preserve">Extensive testing frameworks, version control, and CI/CD pipelines</w:t>
      </w:r>
    </w:p>
    <w:p>
      <w:pPr>
        <w:pStyle w:val="ListParagraph"/>
        <w:numPr>
          <w:ilvl w:val="0"/>
          <w:numId w:val="2"/>
        </w:numPr>
        <w:spacing w:after="90"/>
      </w:pPr>
      <w:r>
        <w:rPr>
          <w:sz w:val="22"/>
          <w:szCs w:val="22"/>
        </w:rPr>
        <w:t xml:space="preserve">Freedom to choose any technology stack, language, or hosting environment</w:t>
      </w:r>
    </w:p>
    <w:p>
      <w:pPr>
        <w:pStyle w:val="ListParagraph"/>
        <w:numPr>
          <w:ilvl w:val="0"/>
          <w:numId w:val="2"/>
        </w:numPr>
        <w:spacing w:after="90"/>
      </w:pPr>
      <w:r>
        <w:rPr>
          <w:sz w:val="22"/>
          <w:szCs w:val="22"/>
        </w:rPr>
        <w:t xml:space="preserve">Requires skilled software engineers, architects, and QA professionals</w:t>
      </w:r>
    </w:p>
    <w:p>
      <w:pPr>
        <w:pStyle w:val="Heading2"/>
        <w:spacing w:after="140" w:before="280"/>
      </w:pPr>
      <w:r>
        <w:rPr>
          <w:b/>
          <w:bCs/>
          <w:color w:val="1F4E79"/>
          <w:sz w:val="25"/>
          <w:szCs w:val="25"/>
        </w:rPr>
        <w:t xml:space="preserve">3.2 Typical Applications</w:t>
      </w:r>
    </w:p>
    <w:p>
      <w:pPr>
        <w:spacing w:after="160" w:line="300"/>
        <w:jc w:val="both"/>
      </w:pPr>
      <w:r>
        <w:rPr>
          <w:sz w:val="22"/>
          <w:szCs w:val="22"/>
        </w:rPr>
        <w:t xml:space="preserve">Traditional development is the standard choice for mission-critical enterprise systems, products with complex or proprietary business logic, applications requiring deep integration with specialized hardware or legacy systems, and software companies whose core product is the application itself.</w:t>
      </w:r>
    </w:p>
    <w:p>
      <w:pPr>
        <w:pStyle w:val="Heading1"/>
        <w:spacing w:after="180" w:before="360"/>
      </w:pPr>
      <w:r>
        <w:rPr>
          <w:b/>
          <w:bCs/>
          <w:color w:val="1F4E79"/>
          <w:sz w:val="30"/>
          <w:szCs w:val="30"/>
        </w:rPr>
        <w:t xml:space="preserve">4. Comparative Analysis</w:t>
      </w:r>
    </w:p>
    <w:p>
      <w:pPr>
        <w:spacing w:after="160" w:line="300"/>
        <w:jc w:val="both"/>
      </w:pPr>
      <w:r>
        <w:rPr>
          <w:sz w:val="22"/>
          <w:szCs w:val="22"/>
        </w:rPr>
        <w:t xml:space="preserve">The table below summarizes how low-code and traditional development compare across the dimensions most relevant to technology and business decision-makers.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50"/>
      </w:tblGrid>
      <w:tr>
        <w:trPr>
          <w:tblHeader/>
        </w:trPr>
        <w:tc>
          <w:tcPr>
            <w:tcW w:type="dxa" w:w="1900"/>
            <w:shd w:fill="1F4E79" w:val="clear"/>
            <w:tcMar>
              <w:top w:type="dxa" w:w="100"/>
              <w:left w:type="dxa" w:w="120"/>
              <w:bottom w:type="dxa" w:w="100"/>
              <w:right w:type="dxa" w:w="120"/>
            </w:tcMar>
            <w:vAlign w:val="center"/>
          </w:tcPr>
          <w:p>
            <w:pPr>
              <w:jc w:val="center"/>
            </w:pPr>
            <w:r>
              <w:rPr>
                <w:b/>
                <w:bCs/>
                <w:color w:val="FFFFFF"/>
                <w:sz w:val="20"/>
                <w:szCs w:val="20"/>
              </w:rPr>
              <w:t xml:space="preserve">Dimension</w:t>
            </w:r>
          </w:p>
        </w:tc>
        <w:tc>
          <w:tcPr>
            <w:tcW w:type="dxa" w:w="3550"/>
            <w:shd w:fill="1F4E79" w:val="clear"/>
            <w:tcMar>
              <w:top w:type="dxa" w:w="100"/>
              <w:left w:type="dxa" w:w="120"/>
              <w:bottom w:type="dxa" w:w="100"/>
              <w:right w:type="dxa" w:w="120"/>
            </w:tcMar>
            <w:vAlign w:val="center"/>
          </w:tcPr>
          <w:p>
            <w:pPr>
              <w:jc w:val="center"/>
            </w:pPr>
            <w:r>
              <w:rPr>
                <w:b/>
                <w:bCs/>
                <w:color w:val="FFFFFF"/>
                <w:sz w:val="20"/>
                <w:szCs w:val="20"/>
              </w:rPr>
              <w:t xml:space="preserve">Low-Code Development</w:t>
            </w:r>
          </w:p>
        </w:tc>
        <w:tc>
          <w:tcPr>
            <w:tcW w:type="dxa" w:w="3550"/>
            <w:shd w:fill="1F4E79" w:val="clear"/>
            <w:tcMar>
              <w:top w:type="dxa" w:w="100"/>
              <w:left w:type="dxa" w:w="120"/>
              <w:bottom w:type="dxa" w:w="100"/>
              <w:right w:type="dxa" w:w="120"/>
            </w:tcMar>
            <w:vAlign w:val="center"/>
          </w:tcPr>
          <w:p>
            <w:pPr>
              <w:jc w:val="center"/>
            </w:pPr>
            <w:r>
              <w:rPr>
                <w:b/>
                <w:bCs/>
                <w:color w:val="FFFFFF"/>
                <w:sz w:val="20"/>
                <w:szCs w:val="20"/>
              </w:rPr>
              <w:t xml:space="preserve">Traditional Development</w:t>
            </w:r>
          </w:p>
        </w:tc>
      </w:tr>
      <w:tr>
        <w:tc>
          <w:tcPr>
            <w:tcW w:type="dxa" w:w="1900"/>
            <w:tcMar>
              <w:top w:type="dxa" w:w="90"/>
              <w:left w:type="dxa" w:w="120"/>
              <w:bottom w:type="dxa" w:w="90"/>
              <w:right w:type="dxa" w:w="120"/>
            </w:tcMar>
            <w:vAlign w:val="center"/>
          </w:tcPr>
          <w:p>
            <w:r>
              <w:rPr>
                <w:sz w:val="20"/>
                <w:szCs w:val="20"/>
              </w:rPr>
              <w:t xml:space="preserve">Development Speed</w:t>
            </w:r>
          </w:p>
        </w:tc>
        <w:tc>
          <w:tcPr>
            <w:tcW w:type="dxa" w:w="3550"/>
            <w:tcMar>
              <w:top w:type="dxa" w:w="90"/>
              <w:left w:type="dxa" w:w="120"/>
              <w:bottom w:type="dxa" w:w="90"/>
              <w:right w:type="dxa" w:w="120"/>
            </w:tcMar>
            <w:vAlign w:val="center"/>
          </w:tcPr>
          <w:p>
            <w:r>
              <w:rPr>
                <w:sz w:val="20"/>
                <w:szCs w:val="20"/>
              </w:rPr>
              <w:t xml:space="preserve">Rapid — visual builders, drag-and-drop components, pre-built templates cut build time significantly</w:t>
            </w:r>
          </w:p>
        </w:tc>
        <w:tc>
          <w:tcPr>
            <w:tcW w:type="dxa" w:w="3550"/>
            <w:tcMar>
              <w:top w:type="dxa" w:w="90"/>
              <w:left w:type="dxa" w:w="120"/>
              <w:bottom w:type="dxa" w:w="90"/>
              <w:right w:type="dxa" w:w="120"/>
            </w:tcMar>
            <w:vAlign w:val="center"/>
          </w:tcPr>
          <w:p>
            <w:r>
              <w:rPr>
                <w:sz w:val="20"/>
                <w:szCs w:val="20"/>
              </w:rPr>
              <w:t xml:space="preserve">Slower — every module is hand-coded, tested, and integrated line by line</w:t>
            </w:r>
          </w:p>
        </w:tc>
      </w:tr>
      <w:tr>
        <w:tc>
          <w:tcPr>
            <w:tcW w:type="dxa" w:w="1900"/>
            <w:shd w:fill="F2F7FC" w:val="clear"/>
            <w:tcMar>
              <w:top w:type="dxa" w:w="90"/>
              <w:left w:type="dxa" w:w="120"/>
              <w:bottom w:type="dxa" w:w="90"/>
              <w:right w:type="dxa" w:w="120"/>
            </w:tcMar>
            <w:vAlign w:val="center"/>
          </w:tcPr>
          <w:p>
            <w:r>
              <w:rPr>
                <w:sz w:val="20"/>
                <w:szCs w:val="20"/>
              </w:rPr>
              <w:t xml:space="preserve">Cost of Development</w:t>
            </w:r>
          </w:p>
        </w:tc>
        <w:tc>
          <w:tcPr>
            <w:tcW w:type="dxa" w:w="3550"/>
            <w:shd w:fill="F2F7FC" w:val="clear"/>
            <w:tcMar>
              <w:top w:type="dxa" w:w="90"/>
              <w:left w:type="dxa" w:w="120"/>
              <w:bottom w:type="dxa" w:w="90"/>
              <w:right w:type="dxa" w:w="120"/>
            </w:tcMar>
            <w:vAlign w:val="center"/>
          </w:tcPr>
          <w:p>
            <w:r>
              <w:rPr>
                <w:sz w:val="20"/>
                <w:szCs w:val="20"/>
              </w:rPr>
              <w:t xml:space="preserve">Lower upfront cost; fewer engineering hours required</w:t>
            </w:r>
          </w:p>
        </w:tc>
        <w:tc>
          <w:tcPr>
            <w:tcW w:type="dxa" w:w="3550"/>
            <w:shd w:fill="F2F7FC" w:val="clear"/>
            <w:tcMar>
              <w:top w:type="dxa" w:w="90"/>
              <w:left w:type="dxa" w:w="120"/>
              <w:bottom w:type="dxa" w:w="90"/>
              <w:right w:type="dxa" w:w="120"/>
            </w:tcMar>
            <w:vAlign w:val="center"/>
          </w:tcPr>
          <w:p>
            <w:r>
              <w:rPr>
                <w:sz w:val="20"/>
                <w:szCs w:val="20"/>
              </w:rPr>
              <w:t xml:space="preserve">Higher upfront cost due to longer developer time and larger teams</w:t>
            </w:r>
          </w:p>
        </w:tc>
      </w:tr>
      <w:tr>
        <w:tc>
          <w:tcPr>
            <w:tcW w:type="dxa" w:w="1900"/>
            <w:tcMar>
              <w:top w:type="dxa" w:w="90"/>
              <w:left w:type="dxa" w:w="120"/>
              <w:bottom w:type="dxa" w:w="90"/>
              <w:right w:type="dxa" w:w="120"/>
            </w:tcMar>
            <w:vAlign w:val="center"/>
          </w:tcPr>
          <w:p>
            <w:r>
              <w:rPr>
                <w:sz w:val="20"/>
                <w:szCs w:val="20"/>
              </w:rPr>
              <w:t xml:space="preserve">Required Skill Level</w:t>
            </w:r>
          </w:p>
        </w:tc>
        <w:tc>
          <w:tcPr>
            <w:tcW w:type="dxa" w:w="3550"/>
            <w:tcMar>
              <w:top w:type="dxa" w:w="90"/>
              <w:left w:type="dxa" w:w="120"/>
              <w:bottom w:type="dxa" w:w="90"/>
              <w:right w:type="dxa" w:w="120"/>
            </w:tcMar>
            <w:vAlign w:val="center"/>
          </w:tcPr>
          <w:p>
            <w:r>
              <w:rPr>
                <w:sz w:val="20"/>
                <w:szCs w:val="20"/>
              </w:rPr>
              <w:t xml:space="preserve">Business analysts and citizen developers can build with minimal coding</w:t>
            </w:r>
          </w:p>
        </w:tc>
        <w:tc>
          <w:tcPr>
            <w:tcW w:type="dxa" w:w="3550"/>
            <w:tcMar>
              <w:top w:type="dxa" w:w="90"/>
              <w:left w:type="dxa" w:w="120"/>
              <w:bottom w:type="dxa" w:w="90"/>
              <w:right w:type="dxa" w:w="120"/>
            </w:tcMar>
            <w:vAlign w:val="center"/>
          </w:tcPr>
          <w:p>
            <w:r>
              <w:rPr>
                <w:sz w:val="20"/>
                <w:szCs w:val="20"/>
              </w:rPr>
              <w:t xml:space="preserve">Requires trained software engineers with strong programming expertise</w:t>
            </w:r>
          </w:p>
        </w:tc>
      </w:tr>
      <w:tr>
        <w:tc>
          <w:tcPr>
            <w:tcW w:type="dxa" w:w="1900"/>
            <w:shd w:fill="F2F7FC" w:val="clear"/>
            <w:tcMar>
              <w:top w:type="dxa" w:w="90"/>
              <w:left w:type="dxa" w:w="120"/>
              <w:bottom w:type="dxa" w:w="90"/>
              <w:right w:type="dxa" w:w="120"/>
            </w:tcMar>
            <w:vAlign w:val="center"/>
          </w:tcPr>
          <w:p>
            <w:r>
              <w:rPr>
                <w:sz w:val="20"/>
                <w:szCs w:val="20"/>
              </w:rPr>
              <w:t xml:space="preserve">Customization &amp; Flexibility</w:t>
            </w:r>
          </w:p>
        </w:tc>
        <w:tc>
          <w:tcPr>
            <w:tcW w:type="dxa" w:w="3550"/>
            <w:shd w:fill="F2F7FC" w:val="clear"/>
            <w:tcMar>
              <w:top w:type="dxa" w:w="90"/>
              <w:left w:type="dxa" w:w="120"/>
              <w:bottom w:type="dxa" w:w="90"/>
              <w:right w:type="dxa" w:w="120"/>
            </w:tcMar>
            <w:vAlign w:val="center"/>
          </w:tcPr>
          <w:p>
            <w:r>
              <w:rPr>
                <w:sz w:val="20"/>
                <w:szCs w:val="20"/>
              </w:rPr>
              <w:t xml:space="preserve">Limited by platform capabilities; complex logic can be harder to implement</w:t>
            </w:r>
          </w:p>
        </w:tc>
        <w:tc>
          <w:tcPr>
            <w:tcW w:type="dxa" w:w="3550"/>
            <w:shd w:fill="F2F7FC" w:val="clear"/>
            <w:tcMar>
              <w:top w:type="dxa" w:w="90"/>
              <w:left w:type="dxa" w:w="120"/>
              <w:bottom w:type="dxa" w:w="90"/>
              <w:right w:type="dxa" w:w="120"/>
            </w:tcMar>
            <w:vAlign w:val="center"/>
          </w:tcPr>
          <w:p>
            <w:r>
              <w:rPr>
                <w:sz w:val="20"/>
                <w:szCs w:val="20"/>
              </w:rPr>
              <w:t xml:space="preserve">Virtually unlimited; full control over architecture, logic, and design</w:t>
            </w:r>
          </w:p>
        </w:tc>
      </w:tr>
      <w:tr>
        <w:tc>
          <w:tcPr>
            <w:tcW w:type="dxa" w:w="1900"/>
            <w:tcMar>
              <w:top w:type="dxa" w:w="90"/>
              <w:left w:type="dxa" w:w="120"/>
              <w:bottom w:type="dxa" w:w="90"/>
              <w:right w:type="dxa" w:w="120"/>
            </w:tcMar>
            <w:vAlign w:val="center"/>
          </w:tcPr>
          <w:p>
            <w:r>
              <w:rPr>
                <w:sz w:val="20"/>
                <w:szCs w:val="20"/>
              </w:rPr>
              <w:t xml:space="preserve">Scalability</w:t>
            </w:r>
          </w:p>
        </w:tc>
        <w:tc>
          <w:tcPr>
            <w:tcW w:type="dxa" w:w="3550"/>
            <w:tcMar>
              <w:top w:type="dxa" w:w="90"/>
              <w:left w:type="dxa" w:w="120"/>
              <w:bottom w:type="dxa" w:w="90"/>
              <w:right w:type="dxa" w:w="120"/>
            </w:tcMar>
            <w:vAlign w:val="center"/>
          </w:tcPr>
          <w:p>
            <w:r>
              <w:rPr>
                <w:sz w:val="20"/>
                <w:szCs w:val="20"/>
              </w:rPr>
              <w:t xml:space="preserve">Generally good for departmental apps; enterprise scale depends on vendor platform</w:t>
            </w:r>
          </w:p>
        </w:tc>
        <w:tc>
          <w:tcPr>
            <w:tcW w:type="dxa" w:w="3550"/>
            <w:tcMar>
              <w:top w:type="dxa" w:w="90"/>
              <w:left w:type="dxa" w:w="120"/>
              <w:bottom w:type="dxa" w:w="90"/>
              <w:right w:type="dxa" w:w="120"/>
            </w:tcMar>
            <w:vAlign w:val="center"/>
          </w:tcPr>
          <w:p>
            <w:r>
              <w:rPr>
                <w:sz w:val="20"/>
                <w:szCs w:val="20"/>
              </w:rPr>
              <w:t xml:space="preserve">Highly scalable when architected properly for large, complex systems</w:t>
            </w:r>
          </w:p>
        </w:tc>
      </w:tr>
      <w:tr>
        <w:tc>
          <w:tcPr>
            <w:tcW w:type="dxa" w:w="1900"/>
            <w:shd w:fill="F2F7FC" w:val="clear"/>
            <w:tcMar>
              <w:top w:type="dxa" w:w="90"/>
              <w:left w:type="dxa" w:w="120"/>
              <w:bottom w:type="dxa" w:w="90"/>
              <w:right w:type="dxa" w:w="120"/>
            </w:tcMar>
            <w:vAlign w:val="center"/>
          </w:tcPr>
          <w:p>
            <w:r>
              <w:rPr>
                <w:sz w:val="20"/>
                <w:szCs w:val="20"/>
              </w:rPr>
              <w:t xml:space="preserve">Maintenance</w:t>
            </w:r>
          </w:p>
        </w:tc>
        <w:tc>
          <w:tcPr>
            <w:tcW w:type="dxa" w:w="3550"/>
            <w:shd w:fill="F2F7FC" w:val="clear"/>
            <w:tcMar>
              <w:top w:type="dxa" w:w="90"/>
              <w:left w:type="dxa" w:w="120"/>
              <w:bottom w:type="dxa" w:w="90"/>
              <w:right w:type="dxa" w:w="120"/>
            </w:tcMar>
            <w:vAlign w:val="center"/>
          </w:tcPr>
          <w:p>
            <w:r>
              <w:rPr>
                <w:sz w:val="20"/>
                <w:szCs w:val="20"/>
              </w:rPr>
              <w:t xml:space="preserve">Simplified — platform vendor manages updates, patches, and infrastructure</w:t>
            </w:r>
          </w:p>
        </w:tc>
        <w:tc>
          <w:tcPr>
            <w:tcW w:type="dxa" w:w="3550"/>
            <w:shd w:fill="F2F7FC" w:val="clear"/>
            <w:tcMar>
              <w:top w:type="dxa" w:w="90"/>
              <w:left w:type="dxa" w:w="120"/>
              <w:bottom w:type="dxa" w:w="90"/>
              <w:right w:type="dxa" w:w="120"/>
            </w:tcMar>
            <w:vAlign w:val="center"/>
          </w:tcPr>
          <w:p>
            <w:r>
              <w:rPr>
                <w:sz w:val="20"/>
                <w:szCs w:val="20"/>
              </w:rPr>
              <w:t xml:space="preserve">Requires dedicated maintenance teams and manual patching</w:t>
            </w:r>
          </w:p>
        </w:tc>
      </w:tr>
      <w:tr>
        <w:tc>
          <w:tcPr>
            <w:tcW w:type="dxa" w:w="1900"/>
            <w:tcMar>
              <w:top w:type="dxa" w:w="90"/>
              <w:left w:type="dxa" w:w="120"/>
              <w:bottom w:type="dxa" w:w="90"/>
              <w:right w:type="dxa" w:w="120"/>
            </w:tcMar>
            <w:vAlign w:val="center"/>
          </w:tcPr>
          <w:p>
            <w:r>
              <w:rPr>
                <w:sz w:val="20"/>
                <w:szCs w:val="20"/>
              </w:rPr>
              <w:t xml:space="preserve">Integration with Legacy Systems</w:t>
            </w:r>
          </w:p>
        </w:tc>
        <w:tc>
          <w:tcPr>
            <w:tcW w:type="dxa" w:w="3550"/>
            <w:tcMar>
              <w:top w:type="dxa" w:w="90"/>
              <w:left w:type="dxa" w:w="120"/>
              <w:bottom w:type="dxa" w:w="90"/>
              <w:right w:type="dxa" w:w="120"/>
            </w:tcMar>
            <w:vAlign w:val="center"/>
          </w:tcPr>
          <w:p>
            <w:r>
              <w:rPr>
                <w:sz w:val="20"/>
                <w:szCs w:val="20"/>
              </w:rPr>
              <w:t xml:space="preserve">May need connectors or APIs; some platforms have integration limits</w:t>
            </w:r>
          </w:p>
        </w:tc>
        <w:tc>
          <w:tcPr>
            <w:tcW w:type="dxa" w:w="3550"/>
            <w:tcMar>
              <w:top w:type="dxa" w:w="90"/>
              <w:left w:type="dxa" w:w="120"/>
              <w:bottom w:type="dxa" w:w="90"/>
              <w:right w:type="dxa" w:w="120"/>
            </w:tcMar>
            <w:vAlign w:val="center"/>
          </w:tcPr>
          <w:p>
            <w:r>
              <w:rPr>
                <w:sz w:val="20"/>
                <w:szCs w:val="20"/>
              </w:rPr>
              <w:t xml:space="preserve">Full control allows deep, custom integration with any system</w:t>
            </w:r>
          </w:p>
        </w:tc>
      </w:tr>
      <w:tr>
        <w:tc>
          <w:tcPr>
            <w:tcW w:type="dxa" w:w="1900"/>
            <w:shd w:fill="F2F7FC" w:val="clear"/>
            <w:tcMar>
              <w:top w:type="dxa" w:w="90"/>
              <w:left w:type="dxa" w:w="120"/>
              <w:bottom w:type="dxa" w:w="90"/>
              <w:right w:type="dxa" w:w="120"/>
            </w:tcMar>
            <w:vAlign w:val="center"/>
          </w:tcPr>
          <w:p>
            <w:r>
              <w:rPr>
                <w:sz w:val="20"/>
                <w:szCs w:val="20"/>
              </w:rPr>
              <w:t xml:space="preserve">Security &amp; Compliance</w:t>
            </w:r>
          </w:p>
        </w:tc>
        <w:tc>
          <w:tcPr>
            <w:tcW w:type="dxa" w:w="3550"/>
            <w:shd w:fill="F2F7FC" w:val="clear"/>
            <w:tcMar>
              <w:top w:type="dxa" w:w="90"/>
              <w:left w:type="dxa" w:w="120"/>
              <w:bottom w:type="dxa" w:w="90"/>
              <w:right w:type="dxa" w:w="120"/>
            </w:tcMar>
            <w:vAlign w:val="center"/>
          </w:tcPr>
          <w:p>
            <w:r>
              <w:rPr>
                <w:sz w:val="20"/>
                <w:szCs w:val="20"/>
              </w:rPr>
              <w:t xml:space="preserve">Depends on vendor's security posture; less control over the underlying stack</w:t>
            </w:r>
          </w:p>
        </w:tc>
        <w:tc>
          <w:tcPr>
            <w:tcW w:type="dxa" w:w="3550"/>
            <w:shd w:fill="F2F7FC" w:val="clear"/>
            <w:tcMar>
              <w:top w:type="dxa" w:w="90"/>
              <w:left w:type="dxa" w:w="120"/>
              <w:bottom w:type="dxa" w:w="90"/>
              <w:right w:type="dxa" w:w="120"/>
            </w:tcMar>
            <w:vAlign w:val="center"/>
          </w:tcPr>
          <w:p>
            <w:r>
              <w:rPr>
                <w:sz w:val="20"/>
                <w:szCs w:val="20"/>
              </w:rPr>
              <w:t xml:space="preserve">Full control over security implementation, audits, and compliance</w:t>
            </w:r>
          </w:p>
        </w:tc>
      </w:tr>
      <w:tr>
        <w:tc>
          <w:tcPr>
            <w:tcW w:type="dxa" w:w="1900"/>
            <w:tcMar>
              <w:top w:type="dxa" w:w="90"/>
              <w:left w:type="dxa" w:w="120"/>
              <w:bottom w:type="dxa" w:w="90"/>
              <w:right w:type="dxa" w:w="120"/>
            </w:tcMar>
            <w:vAlign w:val="center"/>
          </w:tcPr>
          <w:p>
            <w:r>
              <w:rPr>
                <w:sz w:val="20"/>
                <w:szCs w:val="20"/>
              </w:rPr>
              <w:t xml:space="preserve">Vendor Lock-in Risk</w:t>
            </w:r>
          </w:p>
        </w:tc>
        <w:tc>
          <w:tcPr>
            <w:tcW w:type="dxa" w:w="3550"/>
            <w:tcMar>
              <w:top w:type="dxa" w:w="90"/>
              <w:left w:type="dxa" w:w="120"/>
              <w:bottom w:type="dxa" w:w="90"/>
              <w:right w:type="dxa" w:w="120"/>
            </w:tcMar>
            <w:vAlign w:val="center"/>
          </w:tcPr>
          <w:p>
            <w:r>
              <w:rPr>
                <w:sz w:val="20"/>
                <w:szCs w:val="20"/>
              </w:rPr>
              <w:t xml:space="preserve">Higher — tied to a specific platform's ecosystem and pricing model</w:t>
            </w:r>
          </w:p>
        </w:tc>
        <w:tc>
          <w:tcPr>
            <w:tcW w:type="dxa" w:w="3550"/>
            <w:tcMar>
              <w:top w:type="dxa" w:w="90"/>
              <w:left w:type="dxa" w:w="120"/>
              <w:bottom w:type="dxa" w:w="90"/>
              <w:right w:type="dxa" w:w="120"/>
            </w:tcMar>
            <w:vAlign w:val="center"/>
          </w:tcPr>
          <w:p>
            <w:r>
              <w:rPr>
                <w:sz w:val="20"/>
                <w:szCs w:val="20"/>
              </w:rPr>
              <w:t xml:space="preserve">Lower — code is owned outright and portable across environments</w:t>
            </w:r>
          </w:p>
        </w:tc>
      </w:tr>
      <w:tr>
        <w:tc>
          <w:tcPr>
            <w:tcW w:type="dxa" w:w="1900"/>
            <w:shd w:fill="F2F7FC" w:val="clear"/>
            <w:tcMar>
              <w:top w:type="dxa" w:w="90"/>
              <w:left w:type="dxa" w:w="120"/>
              <w:bottom w:type="dxa" w:w="90"/>
              <w:right w:type="dxa" w:w="120"/>
            </w:tcMar>
            <w:vAlign w:val="center"/>
          </w:tcPr>
          <w:p>
            <w:r>
              <w:rPr>
                <w:sz w:val="20"/>
                <w:szCs w:val="20"/>
              </w:rPr>
              <w:t xml:space="preserve">Ideal Use Cases</w:t>
            </w:r>
          </w:p>
        </w:tc>
        <w:tc>
          <w:tcPr>
            <w:tcW w:type="dxa" w:w="3550"/>
            <w:shd w:fill="F2F7FC" w:val="clear"/>
            <w:tcMar>
              <w:top w:type="dxa" w:w="90"/>
              <w:left w:type="dxa" w:w="120"/>
              <w:bottom w:type="dxa" w:w="90"/>
              <w:right w:type="dxa" w:w="120"/>
            </w:tcMar>
            <w:vAlign w:val="center"/>
          </w:tcPr>
          <w:p>
            <w:r>
              <w:rPr>
                <w:sz w:val="20"/>
                <w:szCs w:val="20"/>
              </w:rPr>
              <w:t xml:space="preserve">Internal tools, workflow automation, MVPs, prototypes, departmental apps</w:t>
            </w:r>
          </w:p>
        </w:tc>
        <w:tc>
          <w:tcPr>
            <w:tcW w:type="dxa" w:w="3550"/>
            <w:shd w:fill="F2F7FC" w:val="clear"/>
            <w:tcMar>
              <w:top w:type="dxa" w:w="90"/>
              <w:left w:type="dxa" w:w="120"/>
              <w:bottom w:type="dxa" w:w="90"/>
              <w:right w:type="dxa" w:w="120"/>
            </w:tcMar>
            <w:vAlign w:val="center"/>
          </w:tcPr>
          <w:p>
            <w:r>
              <w:rPr>
                <w:sz w:val="20"/>
                <w:szCs w:val="20"/>
              </w:rPr>
              <w:t xml:space="preserve">Mission-critical systems, complex enterprise software, highly custom products</w:t>
            </w:r>
          </w:p>
        </w:tc>
      </w:tr>
    </w:tbl>
    <w:p>
      <w:pPr>
        <w:spacing w:after="220" w:before="60"/>
        <w:jc w:val="center"/>
      </w:pPr>
      <w:r>
        <w:rPr>
          <w:i/>
          <w:iCs/>
          <w:color w:val="595959"/>
          <w:sz w:val="18"/>
          <w:szCs w:val="18"/>
        </w:rPr>
        <w:t xml:space="preserve">Table 1: Comparative overview of low-code and traditional development approaches</w:t>
      </w:r>
    </w:p>
    <w:p>
      <w:pPr>
        <w:pStyle w:val="Heading2"/>
        <w:spacing w:after="140" w:before="280"/>
      </w:pPr>
      <w:r>
        <w:rPr>
          <w:b/>
          <w:bCs/>
          <w:color w:val="1F4E79"/>
          <w:sz w:val="25"/>
          <w:szCs w:val="25"/>
        </w:rPr>
        <w:t xml:space="preserve">4.1 Development Speed and Time-to-Market</w:t>
      </w:r>
    </w:p>
    <w:p>
      <w:pPr>
        <w:spacing w:after="160" w:line="300"/>
        <w:jc w:val="both"/>
      </w:pPr>
      <w:r>
        <w:rPr>
          <w:sz w:val="22"/>
          <w:szCs w:val="22"/>
        </w:rPr>
        <w:t xml:space="preserve">Low-code platforms consistently demonstrate faster time-to-market, particularly for applications with standard business logic. Pre-built components eliminate the need to code common functionality such as authentication, form validation, and reporting from scratch. Traditional development, while slower to reach an initial release, allows teams to design more precisely optimized systems from the outset, which can reduce costly rework later in the product's life.</w:t>
      </w:r>
    </w:p>
    <w:p>
      <w:pPr>
        <w:pStyle w:val="Heading2"/>
        <w:spacing w:after="140" w:before="280"/>
      </w:pPr>
      <w:r>
        <w:rPr>
          <w:b/>
          <w:bCs/>
          <w:color w:val="1F4E79"/>
          <w:sz w:val="25"/>
          <w:szCs w:val="25"/>
        </w:rPr>
        <w:t xml:space="preserve">4.2 Cost Considerations</w:t>
      </w:r>
    </w:p>
    <w:p>
      <w:pPr>
        <w:spacing w:after="160" w:line="300"/>
        <w:jc w:val="both"/>
      </w:pPr>
      <w:r>
        <w:rPr>
          <w:sz w:val="22"/>
          <w:szCs w:val="22"/>
        </w:rPr>
        <w:t xml:space="preserve">Low-code development typically reduces short-term costs by requiring fewer specialized engineers and less development time. However, licensing fees for low-code platforms can accumulate over time and may become significant at enterprise scale. Traditional development carries higher initial investment but avoids ongoing per-user or per-application licensing costs, which can make it more cost-effective for large, long-lived systems.</w:t>
      </w:r>
    </w:p>
    <w:p>
      <w:pPr>
        <w:pStyle w:val="Heading2"/>
        <w:spacing w:after="140" w:before="280"/>
      </w:pPr>
      <w:r>
        <w:rPr>
          <w:b/>
          <w:bCs/>
          <w:color w:val="1F4E79"/>
          <w:sz w:val="25"/>
          <w:szCs w:val="25"/>
        </w:rPr>
        <w:t xml:space="preserve">4.3 Flexibility and Customization</w:t>
      </w:r>
    </w:p>
    <w:p>
      <w:pPr>
        <w:spacing w:after="160" w:line="300"/>
        <w:jc w:val="both"/>
      </w:pPr>
      <w:r>
        <w:rPr>
          <w:sz w:val="22"/>
          <w:szCs w:val="22"/>
        </w:rPr>
        <w:t xml:space="preserve">This is where traditional development retains a clear advantage. Because engineers write code directly, they can implement virtually any feature, integration, or design requirement. Low-code platforms, by contrast, are bounded by the capabilities the vendor has built into the platform; highly specialized or novel functionality may be difficult or impossible to implement without workarounds.</w:t>
      </w:r>
    </w:p>
    <w:p>
      <w:pPr>
        <w:pStyle w:val="Heading2"/>
        <w:spacing w:after="140" w:before="280"/>
      </w:pPr>
      <w:r>
        <w:rPr>
          <w:b/>
          <w:bCs/>
          <w:color w:val="1F4E79"/>
          <w:sz w:val="25"/>
          <w:szCs w:val="25"/>
        </w:rPr>
        <w:t xml:space="preserve">4.4 Scalability and Performance</w:t>
      </w:r>
    </w:p>
    <w:p>
      <w:pPr>
        <w:spacing w:after="160" w:line="300"/>
        <w:jc w:val="both"/>
      </w:pPr>
      <w:r>
        <w:rPr>
          <w:sz w:val="22"/>
          <w:szCs w:val="22"/>
        </w:rPr>
        <w:t xml:space="preserve">Traditional applications, when properly architected, can scale to serve millions of users and handle complex transaction volumes with fine-grained performance tuning. Low-code platforms have improved considerably in this area, and many enterprise-grade platforms now support significant scale, but ultimate scalability is still constrained by the vendor's underlying infrastructure and architecture decisions.</w:t>
      </w:r>
    </w:p>
    <w:p>
      <w:pPr>
        <w:pStyle w:val="Heading2"/>
        <w:spacing w:after="140" w:before="280"/>
      </w:pPr>
      <w:r>
        <w:rPr>
          <w:b/>
          <w:bCs/>
          <w:color w:val="1F4E79"/>
          <w:sz w:val="25"/>
          <w:szCs w:val="25"/>
        </w:rPr>
        <w:t xml:space="preserve">4.5 Security and Compliance</w:t>
      </w:r>
    </w:p>
    <w:p>
      <w:pPr>
        <w:spacing w:after="160" w:line="300"/>
        <w:jc w:val="both"/>
      </w:pPr>
      <w:r>
        <w:rPr>
          <w:sz w:val="22"/>
          <w:szCs w:val="22"/>
        </w:rPr>
        <w:t xml:space="preserve">Security in low-code platforms depends heavily on the vendor's practices, as much of the underlying stack is abstracted away from the development team. This can be an advantage, since reputable vendors invest heavily in security, but it can also be a limitation for organizations with strict regulatory or data residency requirements. Traditional development gives organizations complete control over security architecture, encryption, and compliance implementation, which is often essential in highly regulated industries such as finance and healthcare.</w:t>
      </w:r>
    </w:p>
    <w:p>
      <w:pPr>
        <w:pStyle w:val="Heading2"/>
        <w:spacing w:after="140" w:before="280"/>
      </w:pPr>
      <w:r>
        <w:rPr>
          <w:b/>
          <w:bCs/>
          <w:color w:val="1F4E79"/>
          <w:sz w:val="25"/>
          <w:szCs w:val="25"/>
        </w:rPr>
        <w:t xml:space="preserve">4.6 Maintainability and Technical Debt</w:t>
      </w:r>
    </w:p>
    <w:p>
      <w:pPr>
        <w:spacing w:after="160" w:line="300"/>
        <w:jc w:val="both"/>
      </w:pPr>
      <w:r>
        <w:rPr>
          <w:sz w:val="22"/>
          <w:szCs w:val="22"/>
        </w:rPr>
        <w:t xml:space="preserve">Low-code applications benefit from centralized platform updates, meaning bug fixes and feature improvements are often delivered automatically by the vendor. Traditional applications require dedicated ongoing maintenance, but the code is entirely owned by the organization, avoiding the risk of platform discontinuation or vendor-driven changes that low-code adopters must accept.</w:t>
      </w:r>
    </w:p>
    <w:p>
      <w:pPr>
        <w:pStyle w:val="Heading1"/>
        <w:spacing w:after="180" w:before="360"/>
      </w:pPr>
      <w:r>
        <w:rPr>
          <w:b/>
          <w:bCs/>
          <w:color w:val="1F4E79"/>
          <w:sz w:val="30"/>
          <w:szCs w:val="30"/>
        </w:rPr>
        <w:t xml:space="preserve">5. Advantages and Disadvantages</w:t>
      </w:r>
    </w:p>
    <w:p>
      <w:pPr>
        <w:pStyle w:val="Heading2"/>
        <w:spacing w:after="140" w:before="280"/>
      </w:pPr>
      <w:r>
        <w:rPr>
          <w:b/>
          <w:bCs/>
          <w:color w:val="1F4E79"/>
          <w:sz w:val="25"/>
          <w:szCs w:val="25"/>
        </w:rPr>
        <w:t xml:space="preserve">5.1 Low-Code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100"/>
              <w:left w:type="dxa" w:w="120"/>
              <w:bottom w:type="dxa" w:w="100"/>
              <w:right w:type="dxa" w:w="120"/>
            </w:tcMar>
            <w:vAlign w:val="center"/>
          </w:tcPr>
          <w:p>
            <w:pPr>
              <w:jc w:val="center"/>
            </w:pPr>
            <w:r>
              <w:rPr>
                <w:b/>
                <w:bCs/>
                <w:color w:val="FFFFFF"/>
                <w:sz w:val="20"/>
                <w:szCs w:val="20"/>
              </w:rPr>
              <w:t xml:space="preserve">Advantages</w:t>
            </w:r>
          </w:p>
        </w:tc>
        <w:tc>
          <w:tcPr>
            <w:tcW w:type="dxa" w:w="4500"/>
            <w:shd w:fill="1F4E79" w:val="clear"/>
            <w:tcMar>
              <w:top w:type="dxa" w:w="100"/>
              <w:left w:type="dxa" w:w="120"/>
              <w:bottom w:type="dxa" w:w="100"/>
              <w:right w:type="dxa" w:w="120"/>
            </w:tcMar>
            <w:vAlign w:val="center"/>
          </w:tcPr>
          <w:p>
            <w:pPr>
              <w:jc w:val="center"/>
            </w:pPr>
            <w:r>
              <w:rPr>
                <w:b/>
                <w:bCs/>
                <w:color w:val="FFFFFF"/>
                <w:sz w:val="20"/>
                <w:szCs w:val="20"/>
              </w:rPr>
              <w:t xml:space="preserve">Disadvantages</w:t>
            </w:r>
          </w:p>
        </w:tc>
      </w:tr>
      <w:tr>
        <w:tc>
          <w:tcPr>
            <w:tcW w:type="dxa" w:w="4500"/>
            <w:shd w:fill="F2F7FC" w:val="clear"/>
            <w:tcMar>
              <w:top w:type="dxa" w:w="90"/>
              <w:left w:type="dxa" w:w="120"/>
              <w:bottom w:type="dxa" w:w="90"/>
              <w:right w:type="dxa" w:w="120"/>
            </w:tcMar>
            <w:vAlign w:val="center"/>
          </w:tcPr>
          <w:p>
            <w:r>
              <w:rPr>
                <w:sz w:val="20"/>
                <w:szCs w:val="20"/>
              </w:rPr>
              <w:t xml:space="preserve">Significantly faster development and deployment cycles</w:t>
            </w:r>
          </w:p>
        </w:tc>
        <w:tc>
          <w:tcPr>
            <w:tcW w:type="dxa" w:w="4500"/>
            <w:shd w:fill="F2F7FC" w:val="clear"/>
            <w:tcMar>
              <w:top w:type="dxa" w:w="90"/>
              <w:left w:type="dxa" w:w="120"/>
              <w:bottom w:type="dxa" w:w="90"/>
              <w:right w:type="dxa" w:w="120"/>
            </w:tcMar>
            <w:vAlign w:val="center"/>
          </w:tcPr>
          <w:p>
            <w:r>
              <w:rPr>
                <w:sz w:val="20"/>
                <w:szCs w:val="20"/>
              </w:rPr>
              <w:t xml:space="preserve">Limited customization for complex or unique requirements</w:t>
            </w:r>
          </w:p>
        </w:tc>
      </w:tr>
      <w:tr>
        <w:tc>
          <w:tcPr>
            <w:tcW w:type="dxa" w:w="4500"/>
            <w:tcMar>
              <w:top w:type="dxa" w:w="90"/>
              <w:left w:type="dxa" w:w="120"/>
              <w:bottom w:type="dxa" w:w="90"/>
              <w:right w:type="dxa" w:w="120"/>
            </w:tcMar>
            <w:vAlign w:val="center"/>
          </w:tcPr>
          <w:p>
            <w:r>
              <w:rPr>
                <w:sz w:val="20"/>
                <w:szCs w:val="20"/>
              </w:rPr>
              <w:t xml:space="preserve">Lower barrier to entry for non-technical staff</w:t>
            </w:r>
          </w:p>
        </w:tc>
        <w:tc>
          <w:tcPr>
            <w:tcW w:type="dxa" w:w="4500"/>
            <w:tcMar>
              <w:top w:type="dxa" w:w="90"/>
              <w:left w:type="dxa" w:w="120"/>
              <w:bottom w:type="dxa" w:w="90"/>
              <w:right w:type="dxa" w:w="120"/>
            </w:tcMar>
            <w:vAlign w:val="center"/>
          </w:tcPr>
          <w:p>
            <w:r>
              <w:rPr>
                <w:sz w:val="20"/>
                <w:szCs w:val="20"/>
              </w:rPr>
              <w:t xml:space="preserve">Risk of vendor lock-in and platform dependency</w:t>
            </w:r>
          </w:p>
        </w:tc>
      </w:tr>
      <w:tr>
        <w:tc>
          <w:tcPr>
            <w:tcW w:type="dxa" w:w="4500"/>
            <w:shd w:fill="F2F7FC" w:val="clear"/>
            <w:tcMar>
              <w:top w:type="dxa" w:w="90"/>
              <w:left w:type="dxa" w:w="120"/>
              <w:bottom w:type="dxa" w:w="90"/>
              <w:right w:type="dxa" w:w="120"/>
            </w:tcMar>
            <w:vAlign w:val="center"/>
          </w:tcPr>
          <w:p>
            <w:r>
              <w:rPr>
                <w:sz w:val="20"/>
                <w:szCs w:val="20"/>
              </w:rPr>
              <w:t xml:space="preserve">Reduced need for large engineering teams</w:t>
            </w:r>
          </w:p>
        </w:tc>
        <w:tc>
          <w:tcPr>
            <w:tcW w:type="dxa" w:w="4500"/>
            <w:shd w:fill="F2F7FC" w:val="clear"/>
            <w:tcMar>
              <w:top w:type="dxa" w:w="90"/>
              <w:left w:type="dxa" w:w="120"/>
              <w:bottom w:type="dxa" w:w="90"/>
              <w:right w:type="dxa" w:w="120"/>
            </w:tcMar>
            <w:vAlign w:val="center"/>
          </w:tcPr>
          <w:p>
            <w:r>
              <w:rPr>
                <w:sz w:val="20"/>
                <w:szCs w:val="20"/>
              </w:rPr>
              <w:t xml:space="preserve">Potential licensing costs that scale with usage</w:t>
            </w:r>
          </w:p>
        </w:tc>
      </w:tr>
      <w:tr>
        <w:tc>
          <w:tcPr>
            <w:tcW w:type="dxa" w:w="4500"/>
            <w:tcMar>
              <w:top w:type="dxa" w:w="90"/>
              <w:left w:type="dxa" w:w="120"/>
              <w:bottom w:type="dxa" w:w="90"/>
              <w:right w:type="dxa" w:w="120"/>
            </w:tcMar>
            <w:vAlign w:val="center"/>
          </w:tcPr>
          <w:p>
            <w:r>
              <w:rPr>
                <w:sz w:val="20"/>
                <w:szCs w:val="20"/>
              </w:rPr>
              <w:t xml:space="preserve">Built-in maintenance, hosting, and updates from vendor</w:t>
            </w:r>
          </w:p>
        </w:tc>
        <w:tc>
          <w:tcPr>
            <w:tcW w:type="dxa" w:w="4500"/>
            <w:tcMar>
              <w:top w:type="dxa" w:w="90"/>
              <w:left w:type="dxa" w:w="120"/>
              <w:bottom w:type="dxa" w:w="90"/>
              <w:right w:type="dxa" w:w="120"/>
            </w:tcMar>
            <w:vAlign w:val="center"/>
          </w:tcPr>
          <w:p>
            <w:r>
              <w:rPr>
                <w:sz w:val="20"/>
                <w:szCs w:val="20"/>
              </w:rPr>
              <w:t xml:space="preserve">Less control over security and data governance</w:t>
            </w:r>
          </w:p>
        </w:tc>
      </w:tr>
      <w:tr>
        <w:tc>
          <w:tcPr>
            <w:tcW w:type="dxa" w:w="4500"/>
            <w:shd w:fill="F2F7FC" w:val="clear"/>
            <w:tcMar>
              <w:top w:type="dxa" w:w="90"/>
              <w:left w:type="dxa" w:w="120"/>
              <w:bottom w:type="dxa" w:w="90"/>
              <w:right w:type="dxa" w:w="120"/>
            </w:tcMar>
            <w:vAlign w:val="center"/>
          </w:tcPr>
          <w:p>
            <w:r>
              <w:rPr>
                <w:sz w:val="20"/>
                <w:szCs w:val="20"/>
              </w:rPr>
              <w:t xml:space="preserve">Encourages collaboration between business and IT</w:t>
            </w:r>
          </w:p>
        </w:tc>
        <w:tc>
          <w:tcPr>
            <w:tcW w:type="dxa" w:w="4500"/>
            <w:shd w:fill="F2F7FC" w:val="clear"/>
            <w:tcMar>
              <w:top w:type="dxa" w:w="90"/>
              <w:left w:type="dxa" w:w="120"/>
              <w:bottom w:type="dxa" w:w="90"/>
              <w:right w:type="dxa" w:w="120"/>
            </w:tcMar>
            <w:vAlign w:val="center"/>
          </w:tcPr>
          <w:p>
            <w:r>
              <w:rPr>
                <w:sz w:val="20"/>
                <w:szCs w:val="20"/>
              </w:rPr>
              <w:t xml:space="preserve">May struggle with very high-scale or performance-critical needs</w:t>
            </w:r>
          </w:p>
        </w:tc>
      </w:tr>
    </w:tbl>
    <w:p>
      <w:pPr>
        <w:spacing w:after="260"/>
      </w:pPr>
    </w:p>
    <w:p>
      <w:pPr>
        <w:pStyle w:val="Heading2"/>
        <w:spacing w:after="140" w:before="280"/>
      </w:pPr>
      <w:r>
        <w:rPr>
          <w:b/>
          <w:bCs/>
          <w:color w:val="1F4E79"/>
          <w:sz w:val="25"/>
          <w:szCs w:val="25"/>
        </w:rPr>
        <w:t xml:space="preserve">5.2 Traditional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100"/>
              <w:left w:type="dxa" w:w="120"/>
              <w:bottom w:type="dxa" w:w="100"/>
              <w:right w:type="dxa" w:w="120"/>
            </w:tcMar>
            <w:vAlign w:val="center"/>
          </w:tcPr>
          <w:p>
            <w:pPr>
              <w:jc w:val="center"/>
            </w:pPr>
            <w:r>
              <w:rPr>
                <w:b/>
                <w:bCs/>
                <w:color w:val="FFFFFF"/>
                <w:sz w:val="20"/>
                <w:szCs w:val="20"/>
              </w:rPr>
              <w:t xml:space="preserve">Advantages</w:t>
            </w:r>
          </w:p>
        </w:tc>
        <w:tc>
          <w:tcPr>
            <w:tcW w:type="dxa" w:w="4500"/>
            <w:shd w:fill="1F4E79" w:val="clear"/>
            <w:tcMar>
              <w:top w:type="dxa" w:w="100"/>
              <w:left w:type="dxa" w:w="120"/>
              <w:bottom w:type="dxa" w:w="100"/>
              <w:right w:type="dxa" w:w="120"/>
            </w:tcMar>
            <w:vAlign w:val="center"/>
          </w:tcPr>
          <w:p>
            <w:pPr>
              <w:jc w:val="center"/>
            </w:pPr>
            <w:r>
              <w:rPr>
                <w:b/>
                <w:bCs/>
                <w:color w:val="FFFFFF"/>
                <w:sz w:val="20"/>
                <w:szCs w:val="20"/>
              </w:rPr>
              <w:t xml:space="preserve">Disadvantages</w:t>
            </w:r>
          </w:p>
        </w:tc>
      </w:tr>
      <w:tr>
        <w:tc>
          <w:tcPr>
            <w:tcW w:type="dxa" w:w="4500"/>
            <w:shd w:fill="F2F7FC" w:val="clear"/>
            <w:tcMar>
              <w:top w:type="dxa" w:w="90"/>
              <w:left w:type="dxa" w:w="120"/>
              <w:bottom w:type="dxa" w:w="90"/>
              <w:right w:type="dxa" w:w="120"/>
            </w:tcMar>
            <w:vAlign w:val="center"/>
          </w:tcPr>
          <w:p>
            <w:r>
              <w:rPr>
                <w:sz w:val="20"/>
                <w:szCs w:val="20"/>
              </w:rPr>
              <w:t xml:space="preserve">Complete flexibility and customization</w:t>
            </w:r>
          </w:p>
        </w:tc>
        <w:tc>
          <w:tcPr>
            <w:tcW w:type="dxa" w:w="4500"/>
            <w:shd w:fill="F2F7FC" w:val="clear"/>
            <w:tcMar>
              <w:top w:type="dxa" w:w="90"/>
              <w:left w:type="dxa" w:w="120"/>
              <w:bottom w:type="dxa" w:w="90"/>
              <w:right w:type="dxa" w:w="120"/>
            </w:tcMar>
            <w:vAlign w:val="center"/>
          </w:tcPr>
          <w:p>
            <w:r>
              <w:rPr>
                <w:sz w:val="20"/>
                <w:szCs w:val="20"/>
              </w:rPr>
              <w:t xml:space="preserve">Longer development timelines</w:t>
            </w:r>
          </w:p>
        </w:tc>
      </w:tr>
      <w:tr>
        <w:tc>
          <w:tcPr>
            <w:tcW w:type="dxa" w:w="4500"/>
            <w:tcMar>
              <w:top w:type="dxa" w:w="90"/>
              <w:left w:type="dxa" w:w="120"/>
              <w:bottom w:type="dxa" w:w="90"/>
              <w:right w:type="dxa" w:w="120"/>
            </w:tcMar>
            <w:vAlign w:val="center"/>
          </w:tcPr>
          <w:p>
            <w:r>
              <w:rPr>
                <w:sz w:val="20"/>
                <w:szCs w:val="20"/>
              </w:rPr>
              <w:t xml:space="preserve">Full ownership of code and intellectual property</w:t>
            </w:r>
          </w:p>
        </w:tc>
        <w:tc>
          <w:tcPr>
            <w:tcW w:type="dxa" w:w="4500"/>
            <w:tcMar>
              <w:top w:type="dxa" w:w="90"/>
              <w:left w:type="dxa" w:w="120"/>
              <w:bottom w:type="dxa" w:w="90"/>
              <w:right w:type="dxa" w:w="120"/>
            </w:tcMar>
            <w:vAlign w:val="center"/>
          </w:tcPr>
          <w:p>
            <w:r>
              <w:rPr>
                <w:sz w:val="20"/>
                <w:szCs w:val="20"/>
              </w:rPr>
              <w:t xml:space="preserve">Requires skilled, often costly, engineering talent</w:t>
            </w:r>
          </w:p>
        </w:tc>
      </w:tr>
      <w:tr>
        <w:tc>
          <w:tcPr>
            <w:tcW w:type="dxa" w:w="4500"/>
            <w:shd w:fill="F2F7FC" w:val="clear"/>
            <w:tcMar>
              <w:top w:type="dxa" w:w="90"/>
              <w:left w:type="dxa" w:w="120"/>
              <w:bottom w:type="dxa" w:w="90"/>
              <w:right w:type="dxa" w:w="120"/>
            </w:tcMar>
            <w:vAlign w:val="center"/>
          </w:tcPr>
          <w:p>
            <w:r>
              <w:rPr>
                <w:sz w:val="20"/>
                <w:szCs w:val="20"/>
              </w:rPr>
              <w:t xml:space="preserve">No inherent limits on scalability or performance tuning</w:t>
            </w:r>
          </w:p>
        </w:tc>
        <w:tc>
          <w:tcPr>
            <w:tcW w:type="dxa" w:w="4500"/>
            <w:shd w:fill="F2F7FC" w:val="clear"/>
            <w:tcMar>
              <w:top w:type="dxa" w:w="90"/>
              <w:left w:type="dxa" w:w="120"/>
              <w:bottom w:type="dxa" w:w="90"/>
              <w:right w:type="dxa" w:w="120"/>
            </w:tcMar>
            <w:vAlign w:val="center"/>
          </w:tcPr>
          <w:p>
            <w:r>
              <w:rPr>
                <w:sz w:val="20"/>
                <w:szCs w:val="20"/>
              </w:rPr>
              <w:t xml:space="preserve">Higher upfront investment and project risk</w:t>
            </w:r>
          </w:p>
        </w:tc>
      </w:tr>
      <w:tr>
        <w:tc>
          <w:tcPr>
            <w:tcW w:type="dxa" w:w="4500"/>
            <w:tcMar>
              <w:top w:type="dxa" w:w="90"/>
              <w:left w:type="dxa" w:w="120"/>
              <w:bottom w:type="dxa" w:w="90"/>
              <w:right w:type="dxa" w:w="120"/>
            </w:tcMar>
            <w:vAlign w:val="center"/>
          </w:tcPr>
          <w:p>
            <w:r>
              <w:rPr>
                <w:sz w:val="20"/>
                <w:szCs w:val="20"/>
              </w:rPr>
              <w:t xml:space="preserve">Full control over security and compliance implementation</w:t>
            </w:r>
          </w:p>
        </w:tc>
        <w:tc>
          <w:tcPr>
            <w:tcW w:type="dxa" w:w="4500"/>
            <w:tcMar>
              <w:top w:type="dxa" w:w="90"/>
              <w:left w:type="dxa" w:w="120"/>
              <w:bottom w:type="dxa" w:w="90"/>
              <w:right w:type="dxa" w:w="120"/>
            </w:tcMar>
            <w:vAlign w:val="center"/>
          </w:tcPr>
          <w:p>
            <w:r>
              <w:rPr>
                <w:sz w:val="20"/>
                <w:szCs w:val="20"/>
              </w:rPr>
              <w:t xml:space="preserve">Ongoing maintenance burden falls entirely on the organization</w:t>
            </w:r>
          </w:p>
        </w:tc>
      </w:tr>
      <w:tr>
        <w:tc>
          <w:tcPr>
            <w:tcW w:type="dxa" w:w="4500"/>
            <w:shd w:fill="F2F7FC" w:val="clear"/>
            <w:tcMar>
              <w:top w:type="dxa" w:w="90"/>
              <w:left w:type="dxa" w:w="120"/>
              <w:bottom w:type="dxa" w:w="90"/>
              <w:right w:type="dxa" w:w="120"/>
            </w:tcMar>
            <w:vAlign w:val="center"/>
          </w:tcPr>
          <w:p>
            <w:r>
              <w:rPr>
                <w:sz w:val="20"/>
                <w:szCs w:val="20"/>
              </w:rPr>
              <w:t xml:space="preserve">No vendor lock-in or platform dependency risk</w:t>
            </w:r>
          </w:p>
        </w:tc>
        <w:tc>
          <w:tcPr>
            <w:tcW w:type="dxa" w:w="4500"/>
            <w:shd w:fill="F2F7FC" w:val="clear"/>
            <w:tcMar>
              <w:top w:type="dxa" w:w="90"/>
              <w:left w:type="dxa" w:w="120"/>
              <w:bottom w:type="dxa" w:w="90"/>
              <w:right w:type="dxa" w:w="120"/>
            </w:tcMar>
            <w:vAlign w:val="center"/>
          </w:tcPr>
          <w:p>
            <w:r>
              <w:rPr>
                <w:sz w:val="20"/>
                <w:szCs w:val="20"/>
              </w:rPr>
              <w:t xml:space="preserve">Slower to pivot on rapidly changing business requirements</w:t>
            </w:r>
          </w:p>
        </w:tc>
      </w:tr>
    </w:tbl>
    <w:p>
      <w:pPr>
        <w:pStyle w:val="Heading1"/>
        <w:spacing w:after="180" w:before="360"/>
      </w:pPr>
      <w:r>
        <w:rPr>
          <w:b/>
          <w:bCs/>
          <w:color w:val="1F4E79"/>
          <w:sz w:val="30"/>
          <w:szCs w:val="30"/>
        </w:rPr>
        <w:t xml:space="preserve">6. Choosing the Right Approach</w:t>
      </w:r>
    </w:p>
    <w:p>
      <w:pPr>
        <w:spacing w:after="160" w:line="300"/>
        <w:jc w:val="both"/>
      </w:pPr>
      <w:r>
        <w:rPr>
          <w:sz w:val="22"/>
          <w:szCs w:val="22"/>
        </w:rPr>
        <w:t xml:space="preserve">In practice, the choice between low-code and traditional development is rarely binary. Many organizations adopt a hybrid strategy, using low-code platforms for internal tools, prototypes, and departmental workflows, while reserving traditional development for core products, customer-facing systems at scale, and applications with complex or proprietary logic.</w:t>
      </w:r>
    </w:p>
    <w:p>
      <w:pPr>
        <w:pStyle w:val="Heading2"/>
        <w:spacing w:after="140" w:before="280"/>
      </w:pPr>
      <w:r>
        <w:rPr>
          <w:b/>
          <w:bCs/>
          <w:color w:val="1F4E79"/>
          <w:sz w:val="25"/>
          <w:szCs w:val="25"/>
        </w:rPr>
        <w:t xml:space="preserve">6.1 When Low-Code Is the Better Fit</w:t>
      </w:r>
    </w:p>
    <w:p>
      <w:pPr>
        <w:pStyle w:val="ListParagraph"/>
        <w:numPr>
          <w:ilvl w:val="0"/>
          <w:numId w:val="2"/>
        </w:numPr>
        <w:spacing w:after="90"/>
      </w:pPr>
      <w:r>
        <w:rPr>
          <w:sz w:val="22"/>
          <w:szCs w:val="22"/>
        </w:rPr>
        <w:t xml:space="preserve">The project has a tight deadline and moderate complexity</w:t>
      </w:r>
    </w:p>
    <w:p>
      <w:pPr>
        <w:pStyle w:val="ListParagraph"/>
        <w:numPr>
          <w:ilvl w:val="0"/>
          <w:numId w:val="2"/>
        </w:numPr>
        <w:spacing w:after="90"/>
      </w:pPr>
      <w:r>
        <w:rPr>
          <w:sz w:val="22"/>
          <w:szCs w:val="22"/>
        </w:rPr>
        <w:t xml:space="preserve">The application automates an internal business process</w:t>
      </w:r>
    </w:p>
    <w:p>
      <w:pPr>
        <w:pStyle w:val="ListParagraph"/>
        <w:numPr>
          <w:ilvl w:val="0"/>
          <w:numId w:val="2"/>
        </w:numPr>
        <w:spacing w:after="90"/>
      </w:pPr>
      <w:r>
        <w:rPr>
          <w:sz w:val="22"/>
          <w:szCs w:val="22"/>
        </w:rPr>
        <w:t xml:space="preserve">Business users need to prototype or validate an idea quickly</w:t>
      </w:r>
    </w:p>
    <w:p>
      <w:pPr>
        <w:pStyle w:val="ListParagraph"/>
        <w:numPr>
          <w:ilvl w:val="0"/>
          <w:numId w:val="2"/>
        </w:numPr>
        <w:spacing w:after="90"/>
      </w:pPr>
      <w:r>
        <w:rPr>
          <w:sz w:val="22"/>
          <w:szCs w:val="22"/>
        </w:rPr>
        <w:t xml:space="preserve">Engineering resources are limited or need to focus elsewhere</w:t>
      </w:r>
    </w:p>
    <w:p>
      <w:pPr>
        <w:pStyle w:val="Heading2"/>
        <w:spacing w:after="140" w:before="280"/>
      </w:pPr>
      <w:r>
        <w:rPr>
          <w:b/>
          <w:bCs/>
          <w:color w:val="1F4E79"/>
          <w:sz w:val="25"/>
          <w:szCs w:val="25"/>
        </w:rPr>
        <w:t xml:space="preserve">6.2 When Traditional Development Is the Better Fit</w:t>
      </w:r>
    </w:p>
    <w:p>
      <w:pPr>
        <w:pStyle w:val="ListParagraph"/>
        <w:numPr>
          <w:ilvl w:val="0"/>
          <w:numId w:val="2"/>
        </w:numPr>
        <w:spacing w:after="90"/>
      </w:pPr>
      <w:r>
        <w:rPr>
          <w:sz w:val="22"/>
          <w:szCs w:val="22"/>
        </w:rPr>
        <w:t xml:space="preserve">The application is the organization's core product or competitive differentiator</w:t>
      </w:r>
    </w:p>
    <w:p>
      <w:pPr>
        <w:pStyle w:val="ListParagraph"/>
        <w:numPr>
          <w:ilvl w:val="0"/>
          <w:numId w:val="2"/>
        </w:numPr>
        <w:spacing w:after="90"/>
      </w:pPr>
      <w:r>
        <w:rPr>
          <w:sz w:val="22"/>
          <w:szCs w:val="22"/>
        </w:rPr>
        <w:t xml:space="preserve">Requirements involve complex, novel, or highly specialized logic</w:t>
      </w:r>
    </w:p>
    <w:p>
      <w:pPr>
        <w:pStyle w:val="ListParagraph"/>
        <w:numPr>
          <w:ilvl w:val="0"/>
          <w:numId w:val="2"/>
        </w:numPr>
        <w:spacing w:after="90"/>
      </w:pPr>
      <w:r>
        <w:rPr>
          <w:sz w:val="22"/>
          <w:szCs w:val="22"/>
        </w:rPr>
        <w:t xml:space="preserve">Strict regulatory, security, or performance requirements apply</w:t>
      </w:r>
    </w:p>
    <w:p>
      <w:pPr>
        <w:pStyle w:val="ListParagraph"/>
        <w:numPr>
          <w:ilvl w:val="0"/>
          <w:numId w:val="2"/>
        </w:numPr>
        <w:spacing w:after="90"/>
      </w:pPr>
      <w:r>
        <w:rPr>
          <w:sz w:val="22"/>
          <w:szCs w:val="22"/>
        </w:rPr>
        <w:t xml:space="preserve">Long-term scalability and full ownership of the codebase are priorities</w:t>
      </w:r>
    </w:p>
    <w:p>
      <w:pPr>
        <w:pStyle w:val="Heading1"/>
        <w:spacing w:after="180" w:before="360"/>
      </w:pPr>
      <w:r>
        <w:rPr>
          <w:b/>
          <w:bCs/>
          <w:color w:val="1F4E79"/>
          <w:sz w:val="30"/>
          <w:szCs w:val="30"/>
        </w:rPr>
        <w:t xml:space="preserve">7. Emerging Trends</w:t>
      </w:r>
    </w:p>
    <w:p>
      <w:pPr>
        <w:spacing w:after="160" w:line="300"/>
        <w:jc w:val="both"/>
      </w:pPr>
      <w:r>
        <w:rPr>
          <w:sz w:val="22"/>
          <w:szCs w:val="22"/>
        </w:rPr>
        <w:t xml:space="preserve">The line between low-code and traditional development continues to blur. Many traditional development frameworks now incorporate low-code-style tooling for scaffolding and boilerplate generation, while low-code platforms increasingly expose "pro-code" extension points, allowing professional developers to write custom code within an otherwise visual environment. Artificial intelligence is accelerating this convergence further, with AI-assisted code generation now supplementing both traditional coding and low-code configuration, narrowing the speed gap between the two approaches while raising new questions about code quality, security review, and long-term maintainability.</w:t>
      </w:r>
    </w:p>
    <w:p>
      <w:pPr>
        <w:pStyle w:val="Heading1"/>
        <w:spacing w:after="180" w:before="360"/>
      </w:pPr>
      <w:r>
        <w:rPr>
          <w:b/>
          <w:bCs/>
          <w:color w:val="1F4E79"/>
          <w:sz w:val="30"/>
          <w:szCs w:val="30"/>
        </w:rPr>
        <w:t xml:space="preserve">8. Conclusion</w:t>
      </w:r>
    </w:p>
    <w:p>
      <w:pPr>
        <w:spacing w:after="160" w:line="300"/>
        <w:jc w:val="both"/>
      </w:pPr>
      <w:r>
        <w:rPr>
          <w:sz w:val="22"/>
          <w:szCs w:val="22"/>
        </w:rPr>
        <w:t xml:space="preserve">Low-code and traditional application development each offer distinct advantages suited to different organizational needs. Low-code development excels in speed, accessibility, and cost-efficiency for standard business applications, while traditional development remains indispensable for complex, high-scale, or highly customized systems that demand full control over architecture and security. Rather than viewing these approaches as competing philosophies, forward-thinking organizations are increasingly treating them as complementary tools within a broader software delivery strategy — selecting the right approach for the right project, and in many cases, combining both to maximize speed without sacrificing the flexibility that mission-critical systems require.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6"/>
        <w:szCs w:val="16"/>
      </w:rPr>
      <w:t xml:space="preserve">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2026-07-21T05:18:09.537Z</dcterms:created>
  <dcterms:modified xsi:type="dcterms:W3CDTF">2026-07-21T05:18:09.537Z</dcterms:modified>
</cp:coreProperties>
</file>

<file path=docProps/custom.xml><?xml version="1.0" encoding="utf-8"?>
<Properties xmlns="http://schemas.openxmlformats.org/officeDocument/2006/custom-properties" xmlns:vt="http://schemas.openxmlformats.org/officeDocument/2006/docPropsVTypes"/>
</file>