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ptos" w:hAnsi="Aptos"/>
          <w:b/>
          <w:color w:val="253238"/>
          <w:sz w:val="21"/>
        </w:rPr>
        <w:t>RENDLA PAVITHRA  |  2300090355</w:t>
      </w:r>
    </w:p>
    <w:p>
      <w:pPr>
        <w:spacing w:after="60"/>
        <w:jc w:val="center"/>
      </w:pPr>
      <w:r>
        <w:rPr>
          <w:rFonts w:ascii="Aptos Display" w:cs="Cambria" w:eastAsia="Cambria" w:hAnsi="Aptos Display"/>
          <w:b/>
          <w:bCs/>
          <w:color w:val="0F766E"/>
          <w:sz w:val="44"/>
          <w:szCs w:val="48"/>
        </w:rPr>
        <w:t xml:space="preserve">Business Insights</w:t>
      </w:r>
    </w:p>
    <w:p>
      <w:pPr>
        <w:spacing w:after="80"/>
        <w:jc w:val="center"/>
      </w:pPr>
      <w:r>
        <w:rPr>
          <w:rFonts w:ascii="Aptos Display" w:hAnsi="Aptos Display"/>
          <w:b/>
          <w:bCs/>
          <w:color w:val="12343B"/>
          <w:sz w:val="30"/>
          <w:szCs w:val="26"/>
        </w:rPr>
        <w:t xml:space="preserve">Retail Sales Performance &amp; Budget Intelligence Dashboard</w:t>
      </w:r>
    </w:p>
    <w:p>
      <w:pPr>
        <w:spacing w:after="120"/>
        <w:jc w:val="center"/>
      </w:pPr>
      <w:r>
        <w:rPr>
          <w:rFonts w:ascii="Aptos" w:hAnsi="Aptos"/>
          <w:color w:val="66757D"/>
          <w:sz w:val="18"/>
          <w:szCs w:val="20"/>
        </w:rPr>
        <w:t xml:space="preserve">Prepared by Chindanur Nakul Sriraj  ·  Data: 2021, 2022 and 2023 (to Mar 15) sales for 74 California locations</w:t>
      </w:r>
    </w:p>
    <w:p>
      <w:pPr>
        <w:pStyle w:val="Heading1"/>
        <w:pBdr>
          <w:bottom w:val="single" w:color="139A8E" w:sz="6" w:space="3"/>
        </w:pBdr>
        <w:spacing w:after="100" w:before="260"/>
        <w:pBdr>
          <w:bottom w:val="single" w:sz="12" w:space="5" w:color="C58B2A"/>
        </w:pBdr>
      </w:pPr>
      <w:r>
        <w:rPr>
          <w:rFonts w:ascii="Aptos" w:cs="Cambria" w:eastAsia="Cambria" w:hAnsi="Aptos"/>
          <w:b/>
          <w:bCs/>
          <w:color w:val="0F766E"/>
          <w:sz w:val="28"/>
          <w:szCs w:val="28"/>
        </w:rPr>
        <w:t xml:space="preserve">Top 5 Findings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Steady $11.6M-a-year business.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Total sales are $25.66M and gross profit $8.34M (32.5% margin) across 10,889 orders from Jan 2021 to Mar 2023.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Sales are flat, not growing.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2022 sales ($11.57M) were 1.1% below 2021 ($11.69M). On a like-for-like Jan 1 – Mar 15 basis, 2023 is +3.7% vs 2022, but still 2.7% below 2021.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Margin is remarkably stable.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Gross margin was 32.5% in all three years, and all 45 salespeople sit between 31% and 34%.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Profit leaders differ from revenue leaders.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Product 63 leads revenue ($628K) at a 28% margin, while Product 28 leads profit ($248K) at 41%.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No dependency on a few customers.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The top 10 customers generate only 5.4% of sales, and 155 of 509 buyers deliver half of all revenue.</w:t>
      </w:r>
    </w:p>
    <w:p>
      <w:pPr>
        <w:pStyle w:val="Heading1"/>
        <w:pBdr>
          <w:bottom w:val="single" w:color="D9534F" w:sz="6" w:space="3"/>
        </w:pBdr>
        <w:spacing w:after="100" w:before="260"/>
        <w:pBdr>
          <w:bottom w:val="single" w:sz="12" w:space="5" w:color="C58B2A"/>
        </w:pBdr>
      </w:pPr>
      <w:r>
        <w:rPr>
          <w:rFonts w:ascii="Aptos" w:cs="Cambria" w:eastAsia="Cambria" w:hAnsi="Aptos"/>
          <w:b/>
          <w:bCs/>
          <w:color w:val="C58B2A"/>
          <w:sz w:val="28"/>
          <w:szCs w:val="28"/>
        </w:rPr>
        <w:t xml:space="preserve">Top 5 Business Problems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Growth has stalled.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Year-over-year sales are flat to slightly negative, and 22 of 45 salespeople sold less in 2022 than in 2021.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Thin-margin volume products.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15 of 101 products earn under 20% margin, including strong sellers Product 84 ($529K, 17%), Product 66 (18%) and Product 4 (15%).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Budget data does not reconcile.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Actual sales are about 3.6x the budget in every location, budget location names do not match the Locations table for the same ID, and 23 budget locations have no sales.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Sales ignore market size.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Population and sales are almost uncorrelated (0.07). Los Angeles, with 3.97M residents, sells only about $96 per 1,000 people versus $575 in Fresno.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Unused customers and a summer dip.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292 of 801 customers made no purchase in the period, and July and August are consistently the weakest months.</w:t>
      </w:r>
    </w:p>
    <w:p>
      <w:pPr>
        <w:pStyle w:val="Heading1"/>
        <w:pBdr>
          <w:bottom w:val="single" w:color="F2A413" w:sz="6" w:space="3"/>
        </w:pBdr>
        <w:spacing w:after="100" w:before="260"/>
        <w:pBdr>
          <w:bottom w:val="single" w:sz="12" w:space="5" w:color="C58B2A"/>
        </w:pBdr>
      </w:pPr>
      <w:r>
        <w:rPr>
          <w:rFonts w:ascii="Aptos" w:cs="Cambria" w:eastAsia="Cambria" w:hAnsi="Aptos"/>
          <w:b/>
          <w:bCs/>
          <w:color w:val="12343B"/>
          <w:sz w:val="28"/>
          <w:szCs w:val="28"/>
        </w:rPr>
        <w:t xml:space="preserve">Top 5 Recommendations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Reprice or re-cost low-margin products.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Review supplier cost and pricing for Products 84, 66 and 4 first. Lifting each to a 25% margin would add profit without needing more volume.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Grow in under-penetrated large markets.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Add sales effort and local campaigns in Los Angeles, San Diego, San Francisco and San Jose, where population far exceeds sales.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Fix the budget before using it.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Rebuild the budget table with correct location mapping and scale, then track achievement monthly in the dashboard.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Reactivate dormant customers and lift summer demand.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Run a win-back campaign for the 292 inactive customers and a July–August promotion to smooth seasonality.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ptos" w:cs="Calibri" w:eastAsia="Calibri" w:hAnsi="Aptos"/>
          <w:b/>
          <w:bCs/>
          <w:color w:val="253238"/>
          <w:sz w:val="21"/>
          <w:szCs w:val="22"/>
        </w:rPr>
        <w:t xml:space="preserve">Coach the sales team using top performers. </w:t>
      </w:r>
      <w:r>
        <w:rPr>
          <w:rFonts w:ascii="Aptos" w:cs="Calibri" w:eastAsia="Calibri" w:hAnsi="Aptos"/>
          <w:color w:val="253238"/>
          <w:sz w:val="21"/>
          <w:szCs w:val="22"/>
        </w:rPr>
        <w:t xml:space="preserve">Share the practices of Kenneth Bradley (top sales and profit) and Ryan Welch (most orders), and support reps whose sales fell, such as Brian Thomas (−25%).</w:t>
      </w:r>
    </w:p>
    <w:sectPr>
      <w:footerReference w:type="default" r:id="rId7"/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5"/>
        <w:sz w:val="18"/>
        <w:szCs w:val="18"/>
      </w:rPr>
      <w:t xml:space="preserve">Retail Sales Performance &amp; Budget Intelligence  |  Business Insights</w:t>
    </w:r>
    <w:r>
      <w:rPr>
        <w:rFonts w:ascii="Aptos" w:hAnsi="Aptos"/>
        <w:color w:val="66757D"/>
        <w:sz w:val="16"/>
      </w:rPr>
      <w:t>RENDLA PAVITHRA  •  2300090355  •  Business Insights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139A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2026-09-28T12:50:41.489Z</dcterms:created>
  <dcterms:modified xsi:type="dcterms:W3CDTF">2026-09-28T12:50:41.489Z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