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Leave and Attendance Policy</w:t>
      </w:r>
    </w:p>
    <w:p>
      <w:r>
        <w:rPr>
          <w:i/>
        </w:rPr>
        <w:t>Meridian Dynamics Inc. — Internal Document</w:t>
      </w:r>
    </w:p>
    <w:p>
      <w:pPr>
        <w:pStyle w:val="Heading2"/>
      </w:pPr>
      <w:r>
        <w:t>Purpose</w:t>
      </w:r>
    </w:p>
    <w:p>
      <w:r>
        <w:t>This document defines the Leave and Attendance Policy (POL-HR-001) of Meridian Dynamics Inc.. The policy is owned and maintained by the Human Resources department under the direction of Divya Ramaswamy. It was last reviewed on 15 January 2026 and is scheduled for its next review on 15 January 2027.</w:t>
      </w:r>
    </w:p>
    <w:p>
      <w:r>
        <w:t>The purpose of this policy is to establish consistent, enforceable standards that apply to all departments across Meridian Dynamics Inc., ensuring alignment with Meridian Dynamics Inc.'s legal, regulatory and operational obligations.</w:t>
      </w:r>
    </w:p>
    <w:p>
      <w:pPr>
        <w:pStyle w:val="Heading2"/>
      </w:pPr>
      <w:r>
        <w:t>Scope</w:t>
      </w:r>
    </w:p>
    <w:p>
      <w:r>
        <w:t>This policy applies to all departments across Meridian Dynamics Inc.. All employees, contractors and interns of Meridian Dynamics Inc. operating out of Chennai, Bangalore, Pune, Austin, London, Singapore are expected to comply with this policy as a condition of continued engagement with the company.</w:t>
      </w:r>
    </w:p>
    <w:p>
      <w:pPr>
        <w:pStyle w:val="Heading2"/>
      </w:pPr>
      <w:r>
        <w:t>Policy Details</w:t>
      </w:r>
    </w:p>
    <w:p>
      <w:r>
        <w:t>Casual Leave: 12 days per calendar year, credited quarterly, for short-notice personal matters.</w:t>
      </w:r>
    </w:p>
    <w:p>
      <w:r>
        <w:t>Sick Leave: 10 days per calendar year, may require a medical certificate beyond 2 consecutive days.</w:t>
      </w:r>
    </w:p>
    <w:p>
      <w:r>
        <w:t>Earned Leave: 18 days per calendar year, accrued monthly and eligible for encashment up to 10 days annually.</w:t>
      </w:r>
    </w:p>
    <w:p>
      <w:r>
        <w:t>Maternity Leave: 26 weeks of paid leave as per statutory requirements.</w:t>
      </w:r>
    </w:p>
    <w:p>
      <w:r>
        <w:t>Paternity Leave: 2 weeks of paid leave within 3 months of the child's birth or adoption.</w:t>
      </w:r>
    </w:p>
    <w:p>
      <w:r>
        <w:t>Bereavement Leave: 5 days of paid leave in the event of the death of an immediate family member.</w:t>
      </w:r>
    </w:p>
    <w:p>
      <w:r>
        <w:t>Compensatory Off: granted when an employee works on a scheduled holiday or weekend, to be availed within 60 days.</w:t>
      </w:r>
    </w:p>
    <w:p>
      <w:r>
        <w:t>Sabbatical Leave: unpaid leave of up to 6 months available to employees with 5 or more years of tenure.</w:t>
      </w:r>
    </w:p>
    <w:p>
      <w:r>
        <w:t>Leave requests are submitted through the Workday HRMS portal or the GreytHR Self-Service Portal and require approval from the employee's direct reporting manager.</w:t>
      </w:r>
    </w:p>
    <w:p>
      <w:pPr>
        <w:pStyle w:val="Heading2"/>
      </w:pPr>
      <w:r>
        <w:t>Roles and Responsibilities</w:t>
      </w:r>
    </w:p>
    <w:p>
      <w:r>
        <w:t>Divya Ramaswamy is accountable for the overall administration of this policy within Human Resources.</w:t>
      </w:r>
    </w:p>
    <w:p>
      <w:r>
        <w:t>Department Directors are responsible for ensuring compliance within their respective teams and for escalating exceptions to Human Resources.</w:t>
      </w:r>
    </w:p>
    <w:p>
      <w:r>
        <w:t>All employees are responsible for reading, understanding and adhering to this policy as a condition of employment at Meridian Dynamics Inc..</w:t>
      </w:r>
    </w:p>
    <w:p>
      <w:pPr>
        <w:pStyle w:val="Heading2"/>
      </w:pPr>
      <w:r>
        <w:t>Related Policies</w:t>
      </w:r>
    </w:p>
    <w:p>
      <w:r>
        <w:t>This policy should be read in conjunction with the Employee Benefits Policy (POL-HR-002) and the Recruitment and Onboarding Policy (POL-HR-003).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