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Approval Workflow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Workflow Steps</w:t>
      </w:r>
    </w:p>
    <w:p>
      <w:r>
        <w:t>Step 1: Employee submits a leave request through the GreytHR Self-Service Portal, specifying leave type and dates, consistent with the leave categories defined in the Leave and Attendance Policy (POL-HR-001).</w:t>
      </w:r>
    </w:p>
    <w:p>
      <w:r>
        <w:t>Step 2: The request is routed automatically to the employee's reporting manager for approval within Workday HRMS.</w:t>
      </w:r>
    </w:p>
    <w:p>
      <w:r>
        <w:t>Step 3: For Earned Leave requests exceeding 5 consecutive days, the Director of the employee's department must provide secondary approval.</w:t>
      </w:r>
    </w:p>
    <w:p>
      <w:r>
        <w:t>Step 4: Approved leave is reflected in the employee's attendance record, maintained by the Human Resources department, and is visible to the Finance department for payroll processing by Swati Kulkarni's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