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Wellness and Fitness Reimbursement Program</w:t>
      </w:r>
    </w:p>
    <w:p>
      <w:r>
        <w:rPr>
          <w:i/>
        </w:rPr>
        <w:t>Meridian Dynamics Inc. — Internal Document</w:t>
      </w:r>
    </w:p>
    <w:p>
      <w:pPr>
        <w:pStyle w:val="Heading2"/>
      </w:pPr>
      <w:r>
        <w:t>Program Details</w:t>
      </w:r>
    </w:p>
    <w:p>
      <w:r>
        <w:t>annual reimbursement of up to INR 15,000 for gym memberships, fitness classes or wellness apps. Reimbursement claims are submitted through Workday HRMS with proof of payment and are processed by the Finance department within 2 payroll cycles.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