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Security Incident Handling Procedure</w:t>
      </w:r>
    </w:p>
    <w:p>
      <w:r>
        <w:rPr>
          <w:i/>
        </w:rPr>
        <w:t>Meridian Dynamics Inc. — Internal Document</w:t>
      </w:r>
    </w:p>
    <w:p>
      <w:pPr>
        <w:pStyle w:val="Heading2"/>
      </w:pPr>
      <w:r>
        <w:t>Procedure</w:t>
      </w:r>
    </w:p>
    <w:p>
      <w:r>
        <w:t>Employees who suspect a security incident (phishing email, lost device, unauthorized access) must report it immediately via ServiceNow or by contacting Ishita Banerjee, Incident Response Lead.</w:t>
      </w:r>
    </w:p>
    <w:p>
      <w:r>
        <w:t>The Information Security department triages the incident within 1 hour and classifies severity per the Incident Response Policy (POL-SEC-004). Critical incidents trigger notification to the CISO and Legal department.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