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Conference and Training Travel Approval Guide</w:t>
      </w:r>
    </w:p>
    <w:p>
      <w:r>
        <w:rPr>
          <w:i/>
        </w:rPr>
        <w:t>Meridian Dynamics Inc. — Internal Document</w:t>
      </w:r>
    </w:p>
    <w:p>
      <w:pPr>
        <w:pStyle w:val="Heading2"/>
      </w:pPr>
      <w:r>
        <w:t>Guide</w:t>
      </w:r>
    </w:p>
    <w:p>
      <w:r>
        <w:t>Travel for conferences funded under the Learning Stipend benefit requires prior approval from the reporting manager and is booked through SAP Concur alongside standard business travel.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