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Campaign Approval Process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Process</w:t>
      </w:r>
    </w:p>
    <w:p>
      <w:r>
        <w:t>Campaign proposals, such as those under Project Falcon, are drafted by Radhika Pillai, Marketing Manager, Digital, and reviewed by Sneha Bhattacharya, Director of Marketing, before budget approval from Finance.</w:t>
      </w:r>
    </w:p>
    <w:p>
      <w:r>
        <w:t>a digital brand relaunch campaign across web, social and partner channels Campaign assets are published through Salesforce and Microsoft 365 collaboration tools.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