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Grievance Handling Process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Process</w:t>
      </w:r>
    </w:p>
    <w:p>
      <w:r>
        <w:t>Grievances submitted to an HR Business Partner (Kavya Reddy) or manager are logged confidentially and investigated within 15 working days under the Anti-Harassment and Grievance Redressal Policy (POL-HR-006), overseen by Priya Chandran, Chief Human Resources Officer.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