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3 — Architectural Style Selection &amp; Justification</w:t>
      </w:r>
    </w:p>
    <w:p>
      <w:pPr>
        <w:jc w:val="center"/>
      </w:pPr>
      <w:r>
        <w:rPr>
          <w:b/>
          <w:sz w:val="24"/>
        </w:rPr>
        <w:t>Self-Service Coffee Kiosk System</w:t>
      </w:r>
    </w:p>
    <w:p>
      <w:r>
        <w:rPr>
          <w:b/>
          <w:sz w:val="21"/>
        </w:rPr>
        <w:t>Architecture Selection</w:t>
      </w:r>
    </w:p>
    <w:p>
      <w:pPr>
        <w:spacing w:after="80" w:line="240" w:lineRule="auto"/>
      </w:pPr>
      <w:r>
        <w:rPr>
          <w:sz w:val="19"/>
        </w:rPr>
        <w:t>We chose Layered Architecture for the Self-Service Coffee Kiosk System.</w:t>
      </w:r>
    </w:p>
    <w:p>
      <w:r>
        <w:rPr>
          <w:b/>
          <w:sz w:val="21"/>
        </w:rPr>
        <w:t>Architectural Choice &amp; Reasons</w:t>
      </w:r>
    </w:p>
    <w:p>
      <w:pPr>
        <w:spacing w:after="80" w:line="240" w:lineRule="auto"/>
      </w:pPr>
      <w:r>
        <w:rPr>
          <w:sz w:val="19"/>
        </w:rPr>
        <w:t>1. Clear separation of concerns: the touchscreen interface, Order Manager, payment processing, and menu/pricing data can be organized into distinct layers. This makes the kiosk easier to understand, test, maintain, and modify.</w:t>
      </w:r>
    </w:p>
    <w:p>
      <w:pPr>
        <w:spacing w:after="80" w:line="240" w:lineRule="auto"/>
      </w:pPr>
      <w:r>
        <w:rPr>
          <w:sz w:val="19"/>
        </w:rPr>
        <w:t>2. Appropriate for a focused kiosk: the system has a small, well-defined set of functions—three coffee types, two sizes, credit-card payment, receipt printing, and menu/pricing storage. It does not require the operational complexity of independently deployed microservices.</w:t>
      </w:r>
    </w:p>
    <w:p>
      <w:r>
        <w:rPr>
          <w:b/>
          <w:sz w:val="21"/>
        </w:rPr>
        <w:t>Security Advantage</w:t>
      </w:r>
    </w:p>
    <w:p>
      <w:pPr>
        <w:spacing w:after="80" w:line="240" w:lineRule="auto"/>
      </w:pPr>
      <w:r>
        <w:rPr>
          <w:sz w:val="19"/>
        </w:rPr>
        <w:t>The layered structure separates the customer-facing interface from payment and data handling. Payment requests can be validated and controlled by the Payment Service rather than exposing payment-processing logic directly to the touchscreen layer. This reduces unnecessary access between components.</w:t>
      </w:r>
    </w:p>
    <w:p>
      <w:r>
        <w:rPr>
          <w:b/>
          <w:sz w:val="21"/>
        </w:rPr>
        <w:t>Performance Benefit</w:t>
      </w:r>
    </w:p>
    <w:p>
      <w:pPr>
        <w:spacing w:after="80" w:line="240" w:lineRule="auto"/>
      </w:pPr>
      <w:r>
        <w:rPr>
          <w:sz w:val="19"/>
        </w:rPr>
        <w:t>The architecture keeps local menu/pricing access and order processing within a simple component flow, reducing unnecessary network hops and coordination overhead. This supports quick touch-screen interactions and fast order processing in a busy café.</w:t>
      </w:r>
    </w:p>
    <w:p>
      <w:r>
        <w:rPr>
          <w:b/>
          <w:sz w:val="21"/>
        </w:rPr>
        <w:t>Identified Components</w:t>
      </w:r>
    </w:p>
    <w:p>
      <w:pPr>
        <w:spacing w:after="80" w:line="240" w:lineRule="auto"/>
      </w:pPr>
      <w:r>
        <w:rPr>
          <w:sz w:val="19"/>
        </w:rPr>
        <w:t>Touchscreen UI; Order Manager; Payment Service; Menu &amp; Pricing DB; Receipt Printer Service. The diagram shows four key interfaces: order requests, payment processing, menu/pricing queries, and receipt printing.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