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  <w:t xml:space="preserve">Test Report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52"/>
        <w:gridCol w:w="4581"/>
      </w:tblGrid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Iteration: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Build Version: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11.2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Environment: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NetBeans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07.7.2020.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Type: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Unit testing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tester(s):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Pavle Peri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  <w:t xml:space="preserve">Execution Information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 few information about tests.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Projekat2020 software (version 1.0.0) was tested on the JUnit test platform located in NetBeans, from the 2020/07/01 to the 2020/07/07. The tests of the test phase (ref. software test plan) where executed.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Testers were: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Pavle Peri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executed test, this document contains: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identification;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title;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decision (passed, failed);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comment containing additional information or problems encountered during execution and differences with the test procedure.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problems leading to a bug, the bug ID is reported in the result of the step where problem was encountered.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executing a test, the decision is defined according to the following rules: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"OK" state when all steps are in "OK" state. The real result is compliant to the expected result.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"NOK" state when all steps of the test are set to "NOK" state or when the result of a step differs from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Partial 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"Partial OK" state when at least one step of the test is set to "NOK" state or when the result of a step is partially compliant to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 assessment of tests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quantitative results.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tests: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64% of tests OK,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36% of tests NOK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0% of tests 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also statistics about bugs and enhancements: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Total number: 16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Critical: 12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Major: 4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Moderate: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minor: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enhancements: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New Bugs (bugs found in the latest build)</w:t>
      </w:r>
    </w:p>
    <w:tbl>
      <w:tblPr/>
      <w:tblGrid>
        <w:gridCol w:w="732"/>
        <w:gridCol w:w="2915"/>
        <w:gridCol w:w="1266"/>
        <w:gridCol w:w="990"/>
        <w:gridCol w:w="1544"/>
        <w:gridCol w:w="886"/>
        <w:gridCol w:w="990"/>
      </w:tblGrid>
      <w:tr>
        <w:trPr>
          <w:trHeight w:val="200" w:hRule="auto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Title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Assigned To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State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Reproducibility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Probability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Severity</w:t>
            </w: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testLogin2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Login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testRegister2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Registracija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testUpdateInfo1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Izmena klijentovih podataka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testRegister4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Registracija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testDeleteDeliveryService2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Brisanje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testBuy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Kupovina proizvoda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testStockUp2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Punjenje lagera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testGetRecentTransactions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Dobavi nedavne transakcije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numPr>
          <w:ilvl w:val="0"/>
          <w:numId w:val="97"/>
        </w:numPr>
        <w:spacing w:before="20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Conclusion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