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PRUDENTSIGMA DAILY MARKET REPORT</w:t>
      </w:r>
    </w:p>
    <w:p>
      <w:pPr>
        <w:jc w:val="center"/>
      </w:pPr>
      <w:r>
        <w:rPr>
          <w:i/>
          <w:sz w:val="22"/>
        </w:rPr>
        <w:t>Sunday, March 22, 2026 | 14:30 UTC</w:t>
      </w:r>
    </w:p>
    <w:p>
      <w:pPr>
        <w:jc w:val="center"/>
      </w:pPr>
      <w:r>
        <w:rPr>
          <w:i/>
          <w:color w:val="666666"/>
          <w:sz w:val="20"/>
        </w:rPr>
        <w:t>"Smarter Strategies. Prudent Growth."</w:t>
      </w:r>
    </w:p>
    <w:p/>
    <w:p>
      <w:pPr>
        <w:pStyle w:val="Heading1"/>
        <w:spacing w:before="240" w:after="120"/>
      </w:pPr>
      <w:r>
        <w:t>SECTION 1 — MACRO PULSE</w:t>
      </w:r>
    </w:p>
    <w:p>
      <w:pPr>
        <w:pStyle w:val="Heading2"/>
        <w:spacing w:before="120" w:after="120"/>
      </w:pPr>
      <w:r>
        <w:t>Dominant Macro Theme Today:</w:t>
      </w:r>
    </w:p>
    <w:p>
      <w:pPr>
        <w:spacing w:after="240"/>
      </w:pPr>
      <w:r>
        <w:t>The Iran-Israel conflict has entered week four with acute supply-shock implications. Trump's 48-hour ultimatum demanding Iran reopen the Strait of Hormuz by Tuesday evening drives binary risk: a spike to $120+ WTI crude if the Strait closes, or a rapid unwinding trade if negotiations succeed. Inflation-sensitive equities and high-yield credit face a compression trap—earnings multiples squeeze from rising rates while input costs rise simultaneously.</w:t>
      </w:r>
    </w:p>
    <w:p>
      <w:pPr>
        <w:pStyle w:val="Heading2"/>
        <w:spacing w:after="120"/>
      </w:pPr>
      <w:r>
        <w:t>Key Data 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3366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016"/>
            <w:shd w:fill="003366"/>
          </w:tcPr>
          <w:p>
            <w:r>
              <w:rPr>
                <w:b/>
                <w:color w:val="FFFFFF"/>
              </w:rPr>
              <w:t>Price/Level</w:t>
            </w:r>
          </w:p>
        </w:tc>
        <w:tc>
          <w:tcPr>
            <w:tcW w:type="dxa" w:w="2016"/>
            <w:shd w:fill="003366"/>
          </w:tcPr>
          <w:p>
            <w:r>
              <w:rPr>
                <w:b/>
                <w:color w:val="FFFFFF"/>
              </w:rPr>
              <w:t>Change (24h)</w:t>
            </w:r>
          </w:p>
        </w:tc>
        <w:tc>
          <w:tcPr>
            <w:tcW w:type="dxa" w:w="2016"/>
            <w:shd w:fill="003366"/>
          </w:tcPr>
          <w:p>
            <w:r>
              <w:rPr>
                <w:b/>
                <w:color w:val="FFFFFF"/>
              </w:rPr>
              <w:t>Change (5d)</w:t>
            </w:r>
          </w:p>
        </w:tc>
        <w:tc>
          <w:tcPr>
            <w:tcW w:type="dxa" w:w="2016"/>
            <w:shd w:fill="003366"/>
          </w:tcPr>
          <w:p>
            <w:r>
              <w:rPr>
                <w:b/>
                <w:color w:val="FFFFFF"/>
              </w:rPr>
              <w:t>Key Level to Watch</w:t>
            </w:r>
          </w:p>
        </w:tc>
      </w:tr>
      <w:tr>
        <w:tc>
          <w:tcPr>
            <w:tcW w:type="dxa" w:w="2016"/>
          </w:tcPr>
          <w:p>
            <w:r>
              <w:t>SPX</w:t>
            </w:r>
          </w:p>
        </w:tc>
        <w:tc>
          <w:tcPr>
            <w:tcW w:type="dxa" w:w="2016"/>
          </w:tcPr>
          <w:p>
            <w:r>
              <w:t>6,506</w:t>
            </w:r>
          </w:p>
        </w:tc>
        <w:tc>
          <w:tcPr>
            <w:tcW w:type="dxa" w:w="2016"/>
          </w:tcPr>
          <w:p>
            <w:r>
              <w:t>-1.51%</w:t>
            </w:r>
          </w:p>
        </w:tc>
        <w:tc>
          <w:tcPr>
            <w:tcW w:type="dxa" w:w="2016"/>
          </w:tcPr>
          <w:p>
            <w:r>
              <w:t>-6.2%</w:t>
            </w:r>
          </w:p>
        </w:tc>
        <w:tc>
          <w:tcPr>
            <w:tcW w:type="dxa" w:w="2016"/>
          </w:tcPr>
          <w:p>
            <w:r>
              <w:t>6,400</w:t>
            </w:r>
          </w:p>
        </w:tc>
      </w:tr>
      <w:tr>
        <w:tc>
          <w:tcPr>
            <w:tcW w:type="dxa" w:w="2016"/>
          </w:tcPr>
          <w:p>
            <w:r>
              <w:t>NDX</w:t>
            </w:r>
          </w:p>
        </w:tc>
        <w:tc>
          <w:tcPr>
            <w:tcW w:type="dxa" w:w="2016"/>
          </w:tcPr>
          <w:p>
            <w:r>
              <w:t>21,648</w:t>
            </w:r>
          </w:p>
        </w:tc>
        <w:tc>
          <w:tcPr>
            <w:tcW w:type="dxa" w:w="2016"/>
          </w:tcPr>
          <w:p>
            <w:r>
              <w:t>-2.01%</w:t>
            </w:r>
          </w:p>
        </w:tc>
        <w:tc>
          <w:tcPr>
            <w:tcW w:type="dxa" w:w="2016"/>
          </w:tcPr>
          <w:p>
            <w:r>
              <w:t>-7.8%</w:t>
            </w:r>
          </w:p>
        </w:tc>
        <w:tc>
          <w:tcPr>
            <w:tcW w:type="dxa" w:w="2016"/>
          </w:tcPr>
          <w:p>
            <w:r>
              <w:t>21,200</w:t>
            </w:r>
          </w:p>
        </w:tc>
      </w:tr>
      <w:tr>
        <w:tc>
          <w:tcPr>
            <w:tcW w:type="dxa" w:w="2016"/>
          </w:tcPr>
          <w:p>
            <w:r>
              <w:t>DXY</w:t>
            </w:r>
          </w:p>
        </w:tc>
        <w:tc>
          <w:tcPr>
            <w:tcW w:type="dxa" w:w="2016"/>
          </w:tcPr>
          <w:p>
            <w:r>
              <w:t>99.51</w:t>
            </w:r>
          </w:p>
        </w:tc>
        <w:tc>
          <w:tcPr>
            <w:tcW w:type="dxa" w:w="2016"/>
          </w:tcPr>
          <w:p>
            <w:r>
              <w:t>+0.35%</w:t>
            </w:r>
          </w:p>
        </w:tc>
        <w:tc>
          <w:tcPr>
            <w:tcW w:type="dxa" w:w="2016"/>
          </w:tcPr>
          <w:p>
            <w:r>
              <w:t>+1.2%</w:t>
            </w:r>
          </w:p>
        </w:tc>
        <w:tc>
          <w:tcPr>
            <w:tcW w:type="dxa" w:w="2016"/>
          </w:tcPr>
          <w:p>
            <w:r>
              <w:t>100.50</w:t>
            </w:r>
          </w:p>
        </w:tc>
      </w:tr>
      <w:tr>
        <w:tc>
          <w:tcPr>
            <w:tcW w:type="dxa" w:w="2016"/>
          </w:tcPr>
          <w:p>
            <w:r>
              <w:t>Gold (XAU/USD)</w:t>
            </w:r>
          </w:p>
        </w:tc>
        <w:tc>
          <w:tcPr>
            <w:tcW w:type="dxa" w:w="2016"/>
          </w:tcPr>
          <w:p>
            <w:r>
              <w:t>4,550</w:t>
            </w:r>
          </w:p>
        </w:tc>
        <w:tc>
          <w:tcPr>
            <w:tcW w:type="dxa" w:w="2016"/>
          </w:tcPr>
          <w:p>
            <w:r>
              <w:t>-9.8% (week)</w:t>
            </w:r>
          </w:p>
        </w:tc>
        <w:tc>
          <w:tcPr>
            <w:tcW w:type="dxa" w:w="2016"/>
          </w:tcPr>
          <w:p>
            <w:r>
              <w:t>-9.8%</w:t>
            </w:r>
          </w:p>
        </w:tc>
        <w:tc>
          <w:tcPr>
            <w:tcW w:type="dxa" w:w="2016"/>
          </w:tcPr>
          <w:p>
            <w:r>
              <w:t>4,700</w:t>
            </w:r>
          </w:p>
        </w:tc>
      </w:tr>
      <w:tr>
        <w:tc>
          <w:tcPr>
            <w:tcW w:type="dxa" w:w="2016"/>
          </w:tcPr>
          <w:p>
            <w:r>
              <w:t>WTI Crude</w:t>
            </w:r>
          </w:p>
        </w:tc>
        <w:tc>
          <w:tcPr>
            <w:tcW w:type="dxa" w:w="2016"/>
          </w:tcPr>
          <w:p>
            <w:r>
              <w:t>98.23</w:t>
            </w:r>
          </w:p>
        </w:tc>
        <w:tc>
          <w:tcPr>
            <w:tcW w:type="dxa" w:w="2016"/>
          </w:tcPr>
          <w:p>
            <w:r>
              <w:t>+2.80%</w:t>
            </w:r>
          </w:p>
        </w:tc>
        <w:tc>
          <w:tcPr>
            <w:tcW w:type="dxa" w:w="2016"/>
          </w:tcPr>
          <w:p>
            <w:r>
              <w:t>+18.5%</w:t>
            </w:r>
          </w:p>
        </w:tc>
        <w:tc>
          <w:tcPr>
            <w:tcW w:type="dxa" w:w="2016"/>
          </w:tcPr>
          <w:p>
            <w:r>
              <w:t>105.00</w:t>
            </w:r>
          </w:p>
        </w:tc>
      </w:tr>
      <w:tr>
        <w:tc>
          <w:tcPr>
            <w:tcW w:type="dxa" w:w="2016"/>
          </w:tcPr>
          <w:p>
            <w:r>
              <w:t>US 10Y Yield</w:t>
            </w:r>
          </w:p>
        </w:tc>
        <w:tc>
          <w:tcPr>
            <w:tcW w:type="dxa" w:w="2016"/>
          </w:tcPr>
          <w:p>
            <w:r>
              <w:t>4.38%</w:t>
            </w:r>
          </w:p>
        </w:tc>
        <w:tc>
          <w:tcPr>
            <w:tcW w:type="dxa" w:w="2016"/>
          </w:tcPr>
          <w:p>
            <w:r>
              <w:t>+13 bps</w:t>
            </w:r>
          </w:p>
        </w:tc>
        <w:tc>
          <w:tcPr>
            <w:tcW w:type="dxa" w:w="2016"/>
          </w:tcPr>
          <w:p>
            <w:r>
              <w:t>+27 bps</w:t>
            </w:r>
          </w:p>
        </w:tc>
        <w:tc>
          <w:tcPr>
            <w:tcW w:type="dxa" w:w="2016"/>
          </w:tcPr>
          <w:p>
            <w:r>
              <w:t>4.50%</w:t>
            </w:r>
          </w:p>
        </w:tc>
      </w:tr>
      <w:tr>
        <w:tc>
          <w:tcPr>
            <w:tcW w:type="dxa" w:w="2016"/>
          </w:tcPr>
          <w:p>
            <w:r>
              <w:t>VIX</w:t>
            </w:r>
          </w:p>
        </w:tc>
        <w:tc>
          <w:tcPr>
            <w:tcW w:type="dxa" w:w="2016"/>
          </w:tcPr>
          <w:p>
            <w:r>
              <w:t>26.78</w:t>
            </w:r>
          </w:p>
        </w:tc>
        <w:tc>
          <w:tcPr>
            <w:tcW w:type="dxa" w:w="2016"/>
          </w:tcPr>
          <w:p>
            <w:r>
              <w:t>+11.31%</w:t>
            </w:r>
          </w:p>
        </w:tc>
        <w:tc>
          <w:tcPr>
            <w:tcW w:type="dxa" w:w="2016"/>
          </w:tcPr>
          <w:p>
            <w:r>
              <w:t>+82%</w:t>
            </w:r>
          </w:p>
        </w:tc>
        <w:tc>
          <w:tcPr>
            <w:tcW w:type="dxa" w:w="2016"/>
          </w:tcPr>
          <w:p>
            <w:r>
              <w:t>30.00</w:t>
            </w:r>
          </w:p>
        </w:tc>
      </w:tr>
      <w:tr>
        <w:tc>
          <w:tcPr>
            <w:tcW w:type="dxa" w:w="2016"/>
          </w:tcPr>
          <w:p>
            <w:r>
              <w:t>BTC/USD</w:t>
            </w:r>
          </w:p>
        </w:tc>
        <w:tc>
          <w:tcPr>
            <w:tcW w:type="dxa" w:w="2016"/>
          </w:tcPr>
          <w:p>
            <w:r>
              <w:t>69,179</w:t>
            </w:r>
          </w:p>
        </w:tc>
        <w:tc>
          <w:tcPr>
            <w:tcW w:type="dxa" w:w="2016"/>
          </w:tcPr>
          <w:p>
            <w:r>
              <w:t>+0.12%</w:t>
            </w:r>
          </w:p>
        </w:tc>
        <w:tc>
          <w:tcPr>
            <w:tcW w:type="dxa" w:w="2016"/>
          </w:tcPr>
          <w:p>
            <w:r>
              <w:t>-4.2%</w:t>
            </w:r>
          </w:p>
        </w:tc>
        <w:tc>
          <w:tcPr>
            <w:tcW w:type="dxa" w:w="2016"/>
          </w:tcPr>
          <w:p>
            <w:r>
              <w:t>70,000</w:t>
            </w:r>
          </w:p>
        </w:tc>
      </w:tr>
    </w:tbl>
    <w:p/>
    <w:p>
      <w:pPr>
        <w:spacing w:before="120" w:after="60"/>
      </w:pPr>
      <w:r>
        <w:rPr>
          <w:b/>
        </w:rPr>
        <w:t xml:space="preserve">Market Regime Today: </w:t>
      </w:r>
      <w:r>
        <w:t>Risk-Off / Consolidation after 4-week selloff</w:t>
      </w:r>
    </w:p>
    <w:p>
      <w:pPr>
        <w:spacing w:after="60"/>
      </w:pPr>
      <w:r>
        <w:rPr>
          <w:b/>
        </w:rPr>
        <w:t xml:space="preserve">Conviction Level: </w:t>
      </w:r>
      <w:r>
        <w:t>High</w:t>
      </w:r>
    </w:p>
    <w:p>
      <w:pPr>
        <w:spacing w:after="240"/>
      </w:pPr>
      <w:r>
        <w:rPr>
          <w:b/>
        </w:rPr>
        <w:t xml:space="preserve">Reason: </w:t>
      </w:r>
      <w:r>
        <w:t>Four consecutive weeks of losses, Russell 2000 in correction (-10.2% from highs), escalating geopolitical tail risk, and inverted supply-demand dynamics in energy sector.</w:t>
      </w:r>
    </w:p>
    <w:p>
      <w:pPr>
        <w:pStyle w:val="Heading1"/>
        <w:spacing w:before="240" w:after="120"/>
      </w:pPr>
      <w:r>
        <w:t>SECTION 2 — KEY EVENTS &amp; CATALYSTS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Expected Impact</w:t>
            </w:r>
          </w:p>
        </w:tc>
        <w:tc>
          <w:tcPr>
            <w:tcW w:type="dxa" w:w="2520"/>
            <w:shd w:fill="003366"/>
          </w:tcPr>
          <w:p>
            <w:r>
              <w:rPr>
                <w:b/>
                <w:color w:val="FFFFFF"/>
              </w:rPr>
              <w:t>Direction Bias</w:t>
            </w:r>
          </w:p>
        </w:tc>
      </w:tr>
      <w:tr>
        <w:tc>
          <w:tcPr>
            <w:tcW w:type="dxa" w:w="2520"/>
          </w:tcPr>
          <w:p>
            <w:r>
              <w:t>Mon 3/24</w:t>
            </w:r>
          </w:p>
        </w:tc>
        <w:tc>
          <w:tcPr>
            <w:tcW w:type="dxa" w:w="2520"/>
          </w:tcPr>
          <w:p>
            <w:r>
              <w:t>Trump Iran 48-hr Hormuz deadline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Bearish if breach</w:t>
            </w:r>
          </w:p>
        </w:tc>
      </w:tr>
      <w:tr>
        <w:tc>
          <w:tcPr>
            <w:tcW w:type="dxa" w:w="2520"/>
          </w:tcPr>
          <w:p>
            <w:r>
              <w:t>Tue 3/25</w:t>
            </w:r>
          </w:p>
        </w:tc>
        <w:tc>
          <w:tcPr>
            <w:tcW w:type="dxa" w:w="2520"/>
          </w:tcPr>
          <w:p>
            <w:r>
              <w:t>US durable goods orders (flash)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Mixed</w:t>
            </w:r>
          </w:p>
        </w:tc>
      </w:tr>
      <w:tr>
        <w:tc>
          <w:tcPr>
            <w:tcW w:type="dxa" w:w="2520"/>
          </w:tcPr>
          <w:p>
            <w:r>
              <w:t>Wed 3/26</w:t>
            </w:r>
          </w:p>
        </w:tc>
        <w:tc>
          <w:tcPr>
            <w:tcW w:type="dxa" w:w="2520"/>
          </w:tcPr>
          <w:p>
            <w:r>
              <w:t>ECB speakers + EZ inflation data</w:t>
            </w:r>
          </w:p>
        </w:tc>
        <w:tc>
          <w:tcPr>
            <w:tcW w:type="dxa" w:w="2520"/>
          </w:tcPr>
          <w:p>
            <w:r>
              <w:t>Medium-High</w:t>
            </w:r>
          </w:p>
        </w:tc>
        <w:tc>
          <w:tcPr>
            <w:tcW w:type="dxa" w:w="2520"/>
          </w:tcPr>
          <w:p>
            <w:r>
              <w:t>EUR-bullish</w:t>
            </w:r>
          </w:p>
        </w:tc>
      </w:tr>
      <w:tr>
        <w:tc>
          <w:tcPr>
            <w:tcW w:type="dxa" w:w="2520"/>
          </w:tcPr>
          <w:p>
            <w:r>
              <w:t>Thu 3/27</w:t>
            </w:r>
          </w:p>
        </w:tc>
        <w:tc>
          <w:tcPr>
            <w:tcW w:type="dxa" w:w="2520"/>
          </w:tcPr>
          <w:p>
            <w:r>
              <w:t>Initial jobless claims (US)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Neutral</w:t>
            </w:r>
          </w:p>
        </w:tc>
      </w:tr>
      <w:tr>
        <w:tc>
          <w:tcPr>
            <w:tcW w:type="dxa" w:w="2520"/>
          </w:tcPr>
          <w:p>
            <w:r>
              <w:t>Fri 3/28</w:t>
            </w:r>
          </w:p>
        </w:tc>
        <w:tc>
          <w:tcPr>
            <w:tcW w:type="dxa" w:w="2520"/>
          </w:tcPr>
          <w:p>
            <w:r>
              <w:t>University of Michigan sentiment</w:t>
            </w:r>
          </w:p>
        </w:tc>
        <w:tc>
          <w:tcPr>
            <w:tcW w:type="dxa" w:w="2520"/>
          </w:tcPr>
          <w:p>
            <w:r>
              <w:t>Low-Medium</w:t>
            </w:r>
          </w:p>
        </w:tc>
        <w:tc>
          <w:tcPr>
            <w:tcW w:type="dxa" w:w="2520"/>
          </w:tcPr>
          <w:p>
            <w:r>
              <w:t>Lagging</w:t>
            </w:r>
          </w:p>
        </w:tc>
      </w:tr>
    </w:tbl>
    <w:p/>
    <w:p>
      <w:pPr>
        <w:pStyle w:val="Heading2"/>
        <w:spacing w:before="120" w:after="120"/>
      </w:pPr>
      <w:r>
        <w:t>Highest Impact Event This Week:</w:t>
      </w:r>
    </w:p>
    <w:p>
      <w:pPr>
        <w:spacing w:after="240"/>
      </w:pPr>
      <w:r>
        <w:t>Trump's Iran ultimatum expires Monday 3/24 EOD. If Strait of Hormuz remains blocked or further escalates, WTI targets $110-120, forcing a sharp equity drawdown and resetting Fed rate expectations. If any de-escalation narrative emerges, reverse unwind likely across risk assets—gold liquidation accelerates, equities bounce 3-5% intraday.</w:t>
      </w:r>
    </w:p>
    <w:p>
      <w:pPr>
        <w:pStyle w:val="Heading1"/>
        <w:spacing w:before="240" w:after="240"/>
      </w:pPr>
      <w:r>
        <w:t>SECTION 3 — INVESTMENT IDEAS (RANKED BY CONVICTION)</w:t>
      </w:r>
    </w:p>
    <w:p>
      <w:pPr>
        <w:pStyle w:val="Heading2"/>
        <w:spacing w:before="240" w:after="120"/>
      </w:pPr>
      <w:r>
        <w:t>IDEA #1 [CONVICTION: ★★★★★] Energy Sector Long — XLE</w:t>
      </w:r>
    </w:p>
    <w:p>
      <w:pPr>
        <w:pStyle w:val="ListBullet"/>
      </w:pPr>
      <w:r>
        <w:rPr>
          <w:b/>
        </w:rPr>
        <w:t xml:space="preserve">Direction: </w:t>
      </w:r>
      <w:r>
        <w:t>LONG</w:t>
      </w:r>
    </w:p>
    <w:p>
      <w:pPr>
        <w:pStyle w:val="ListBullet"/>
      </w:pPr>
      <w:r>
        <w:rPr>
          <w:b/>
        </w:rPr>
        <w:t xml:space="preserve">Time Horizon: </w:t>
      </w:r>
      <w:r>
        <w:t>Swing — 3-7 days (resolution window for Hormuz deadline)</w:t>
      </w:r>
    </w:p>
    <w:p>
      <w:pPr>
        <w:pStyle w:val="ListBullet"/>
      </w:pPr>
      <w:r>
        <w:rPr>
          <w:b/>
        </w:rPr>
        <w:t xml:space="preserve">Entry Zone: </w:t>
      </w:r>
      <w:r>
        <w:t>86.50 - 87.50</w:t>
      </w:r>
    </w:p>
    <w:p>
      <w:pPr>
        <w:pStyle w:val="ListBullet"/>
      </w:pPr>
      <w:r>
        <w:rPr>
          <w:b/>
        </w:rPr>
        <w:t xml:space="preserve">Stop-Loss: </w:t>
      </w:r>
      <w:r>
        <w:t>84.20 — Invalidation: Iran breakthrough eases tensions immediately</w:t>
      </w:r>
    </w:p>
    <w:p>
      <w:pPr>
        <w:pStyle w:val="ListBullet"/>
      </w:pPr>
      <w:r>
        <w:rPr>
          <w:b/>
        </w:rPr>
        <w:t xml:space="preserve">Target 1: </w:t>
      </w:r>
      <w:r>
        <w:t>92.00 (intraday breakout on Hormuz closure confirmation)</w:t>
      </w:r>
    </w:p>
    <w:p>
      <w:pPr>
        <w:pStyle w:val="ListBullet"/>
      </w:pPr>
      <w:r>
        <w:rPr>
          <w:b/>
        </w:rPr>
        <w:t xml:space="preserve">Target 2: </w:t>
      </w:r>
      <w:r>
        <w:t>95.50 (extended target if WTI moves to $110+)</w:t>
      </w:r>
    </w:p>
    <w:p>
      <w:pPr>
        <w:pStyle w:val="ListBullet"/>
      </w:pPr>
      <w:r>
        <w:rPr>
          <w:b/>
        </w:rPr>
        <w:t xml:space="preserve">R:R Ratio: </w:t>
      </w:r>
      <w:r>
        <w:t>2.3 : 1 (Target 1 @ 92 from entry 87)</w:t>
      </w:r>
    </w:p>
    <w:p>
      <w:pPr>
        <w:pStyle w:val="ListBullet"/>
      </w:pPr>
      <w:r>
        <w:rPr>
          <w:b/>
        </w:rPr>
        <w:t xml:space="preserve">Position Size: </w:t>
      </w:r>
      <w:r>
        <w:t>Moderate — high conviction but event-dependent execution</w:t>
      </w:r>
    </w:p>
    <w:p>
      <w:pPr>
        <w:pStyle w:val="Heading3"/>
      </w:pPr>
      <w:r>
        <w:t>Thesis:</w:t>
      </w:r>
    </w:p>
    <w:p>
      <w:r>
        <w:t>XLE (S&amp;P 500 Energy Index) has underperformed crude oil's 18.5% spike this week because equity markets priced in a pessimistic outcome. If Trump's 48-hour deadline passes without de-escalation, crude breaks $100+ and energy stocks reverse sharply higher. The sector sits at depressed valuations: energy dividend yields ~4.2%, FCF yields ~8%, well above 10-year averages. Entry is clean above 87.50 with crude support at $98 confirmed. If Strait closes, $110 WTI is mechanically probable; O&amp;G equities should re-rate 6-10% higher in 2026 on sustained supply risk premiums.</w:t>
      </w:r>
    </w:p>
    <w:p>
      <w:pPr>
        <w:spacing w:after="240"/>
      </w:pPr>
      <w:r>
        <w:t>Chart: https://www.tradingview.com/chart/?symbol=NYSEARCA:XLE</w:t>
      </w:r>
    </w:p>
    <w:p>
      <w:pPr>
        <w:pStyle w:val="Heading2"/>
        <w:spacing w:before="120" w:after="120"/>
      </w:pPr>
      <w:r>
        <w:t>IDEA #2 [CONVICTION: ★★★★☆] US Treasury Short — HEDGE TRADE</w:t>
      </w:r>
    </w:p>
    <w:p>
      <w:pPr>
        <w:pStyle w:val="ListBullet"/>
      </w:pPr>
      <w:r>
        <w:rPr>
          <w:b/>
        </w:rPr>
        <w:t xml:space="preserve">Direction: </w:t>
      </w:r>
      <w:r>
        <w:t>SHORT (or LONG TBT — inverse 20Y Treasury ETF)</w:t>
      </w:r>
    </w:p>
    <w:p>
      <w:pPr>
        <w:pStyle w:val="ListBullet"/>
      </w:pPr>
      <w:r>
        <w:rPr>
          <w:b/>
        </w:rPr>
        <w:t xml:space="preserve">Time Horizon: </w:t>
      </w:r>
      <w:r>
        <w:t>Swing — 5-10 days</w:t>
      </w:r>
    </w:p>
    <w:p>
      <w:pPr>
        <w:pStyle w:val="ListBullet"/>
      </w:pPr>
      <w:r>
        <w:rPr>
          <w:b/>
        </w:rPr>
        <w:t xml:space="preserve">Entry Zone: </w:t>
      </w:r>
      <w:r>
        <w:t>US 10Y @ 4.38% (short bonds here; buy TBT @ 41.50)</w:t>
      </w:r>
    </w:p>
    <w:p>
      <w:pPr>
        <w:pStyle w:val="ListBullet"/>
      </w:pPr>
      <w:r>
        <w:rPr>
          <w:b/>
        </w:rPr>
        <w:t xml:space="preserve">Stop-Loss: </w:t>
      </w:r>
      <w:r>
        <w:t>4.20% yield (TBT stop @ 39.80) — Invalidation: Risk-off reversal + Fed cut expectations return</w:t>
      </w:r>
    </w:p>
    <w:p>
      <w:pPr>
        <w:pStyle w:val="ListBullet"/>
      </w:pPr>
      <w:r>
        <w:rPr>
          <w:b/>
        </w:rPr>
        <w:t xml:space="preserve">Target 1: </w:t>
      </w:r>
      <w:r>
        <w:t>4.60% yield on 10Y (TBT target @ 43.80)</w:t>
      </w:r>
    </w:p>
    <w:p>
      <w:pPr>
        <w:pStyle w:val="ListBullet"/>
      </w:pPr>
      <w:r>
        <w:rPr>
          <w:b/>
        </w:rPr>
        <w:t xml:space="preserve">Target 2: </w:t>
      </w:r>
      <w:r>
        <w:t>4.80% yield if oil spike triggers inflation repricing (TBT @ 46.00)</w:t>
      </w:r>
    </w:p>
    <w:p>
      <w:pPr>
        <w:pStyle w:val="ListBullet"/>
      </w:pPr>
      <w:r>
        <w:rPr>
          <w:b/>
        </w:rPr>
        <w:t xml:space="preserve">R:R Ratio: </w:t>
      </w:r>
      <w:r>
        <w:t>2.1 : 1</w:t>
      </w:r>
    </w:p>
    <w:p>
      <w:pPr>
        <w:pStyle w:val="ListBullet"/>
      </w:pPr>
      <w:r>
        <w:rPr>
          <w:b/>
        </w:rPr>
        <w:t xml:space="preserve">Position Size: </w:t>
      </w:r>
      <w:r>
        <w:t>Moderate — excellent hedge alongside energy/commodity longs</w:t>
      </w:r>
    </w:p>
    <w:p>
      <w:pPr>
        <w:pStyle w:val="Heading3"/>
      </w:pPr>
      <w:r>
        <w:t>Thesis:</w:t>
      </w:r>
    </w:p>
    <w:p>
      <w:r>
        <w:t>Market still underprices inflation persistence from $35/barrel oil shock. Fed speakers this week will have to acknowledge supply-side risks; bond yields have already begun repricing with 10Y +27 bps in 5 days, but the move is incomplete. A Strait of Hormuz closure would force a 25-40 bp revaluation higher in 10Y yields as market reprices 'sticky inflation' and Fed resilience. TBT inverse Treasury position hedges equity downside while capturing the rates re-correlation. Asymmetric: if de-escalation occurs, take the loss and rotate; if tensions worsen, capture 200+ bps of yields repricing within 5 trading days.</w:t>
      </w:r>
    </w:p>
    <w:p>
      <w:pPr>
        <w:spacing w:after="240"/>
      </w:pPr>
      <w:r>
        <w:t>Chart: https://www.tradingview.com/chart/?symbol=NYSEARCA:TBT</w:t>
      </w:r>
    </w:p>
    <w:p>
      <w:pPr>
        <w:pStyle w:val="Heading2"/>
        <w:spacing w:before="120" w:after="120"/>
      </w:pPr>
      <w:r>
        <w:t>IDEA #3 [CONVICTION: ★★★★☆] Gold Shorts — XAU/USD Position</w:t>
      </w:r>
    </w:p>
    <w:p>
      <w:pPr>
        <w:pStyle w:val="ListBullet"/>
      </w:pPr>
      <w:r>
        <w:rPr>
          <w:b/>
        </w:rPr>
        <w:t xml:space="preserve">Direction: </w:t>
      </w:r>
      <w:r>
        <w:t>SHORT</w:t>
      </w:r>
    </w:p>
    <w:p>
      <w:pPr>
        <w:pStyle w:val="ListBullet"/>
      </w:pPr>
      <w:r>
        <w:rPr>
          <w:b/>
        </w:rPr>
        <w:t xml:space="preserve">Time Horizon: </w:t>
      </w:r>
      <w:r>
        <w:t>Swing — 7-10 days</w:t>
      </w:r>
    </w:p>
    <w:p>
      <w:pPr>
        <w:pStyle w:val="ListBullet"/>
      </w:pPr>
      <w:r>
        <w:rPr>
          <w:b/>
        </w:rPr>
        <w:t xml:space="preserve">Entry Zone: </w:t>
      </w:r>
      <w:r>
        <w:t>Gold @ 4,550-4,600 (S&amp;P 500 lows this week provide chart reference)</w:t>
      </w:r>
    </w:p>
    <w:p>
      <w:pPr>
        <w:pStyle w:val="ListBullet"/>
      </w:pPr>
      <w:r>
        <w:rPr>
          <w:b/>
        </w:rPr>
        <w:t xml:space="preserve">Stop-Loss: </w:t>
      </w:r>
      <w:r>
        <w:t>4,750 — Invalidation: Real rates collapse + flight-to-safety spreads widen &gt;100 bps</w:t>
      </w:r>
    </w:p>
    <w:p>
      <w:pPr>
        <w:pStyle w:val="ListBullet"/>
      </w:pPr>
      <w:r>
        <w:rPr>
          <w:b/>
        </w:rPr>
        <w:t xml:space="preserve">Target 1: </w:t>
      </w:r>
      <w:r>
        <w:t>4,350 (technical mean reversion after -10% rout completes panic liquidation)</w:t>
      </w:r>
    </w:p>
    <w:p>
      <w:pPr>
        <w:pStyle w:val="ListBullet"/>
      </w:pPr>
      <w:r>
        <w:rPr>
          <w:b/>
        </w:rPr>
        <w:t xml:space="preserve">Target 2: </w:t>
      </w:r>
      <w:r>
        <w:t>4,200 (catch-all bounce sellers if dollar strength accelerates)</w:t>
      </w:r>
    </w:p>
    <w:p>
      <w:pPr>
        <w:pStyle w:val="ListBullet"/>
      </w:pPr>
      <w:r>
        <w:rPr>
          <w:b/>
        </w:rPr>
        <w:t xml:space="preserve">R:R Ratio: </w:t>
      </w:r>
      <w:r>
        <w:t>1.8 : 1 (from entry 4,575 to target 4,350)</w:t>
      </w:r>
    </w:p>
    <w:p>
      <w:pPr>
        <w:pStyle w:val="ListBullet"/>
      </w:pPr>
      <w:r>
        <w:rPr>
          <w:b/>
        </w:rPr>
        <w:t xml:space="preserve">Position Size: </w:t>
      </w:r>
      <w:r>
        <w:t>Moderate — crowded trade, but technicals + macro favor shorts</w:t>
      </w:r>
    </w:p>
    <w:p>
      <w:pPr>
        <w:pStyle w:val="Heading3"/>
      </w:pPr>
      <w:r>
        <w:t>Thesis:</w:t>
      </w:r>
    </w:p>
    <w:p>
      <w:r>
        <w:t>Gold's -9.8% weekly collapse is the largest since 2011, driven by: (1) DXY strength +1.2% YTD, (2) real rates repricing higher (10Y - inflation expectations), (3) de-risking in macro hedge funds. The narrative that gold rallies on geopolitical risk is backwards in an inflationary shock scenario—real yields rise, USD strengthens, risk-off paradoxically pressures hard assets. Market is reverting to pre-2008 behavior: 1-3 month tactical shorts on gold are common during energy shocks. Wait for macro clarity (Mon-Tue resolution window), then SHORT into any rebound toward 4,700. Two weeks of consolidation likely before fresh lows at 4,200 if inflation narrative hardens.</w:t>
      </w:r>
    </w:p>
    <w:p>
      <w:pPr>
        <w:spacing w:after="240"/>
      </w:pPr>
      <w:r>
        <w:t>Chart: https://www.tradingview.com/chart/?symbol=COMEX:GC1!</w:t>
      </w:r>
    </w:p>
    <w:p>
      <w:pPr>
        <w:pStyle w:val="Heading2"/>
        <w:spacing w:before="120" w:after="120"/>
      </w:pPr>
      <w:r>
        <w:t>IDEA #4 [CONVICTION: ★★★☆☆] SPX DXY Spread Trade — Tech Rotation</w:t>
      </w:r>
    </w:p>
    <w:p>
      <w:pPr>
        <w:pStyle w:val="ListBullet"/>
      </w:pPr>
      <w:r>
        <w:rPr>
          <w:b/>
        </w:rPr>
        <w:t xml:space="preserve">Direction: </w:t>
      </w:r>
      <w:r>
        <w:t>SPX SHORT / DXY LONG (or long SPY put spread + short dollar puts)</w:t>
      </w:r>
    </w:p>
    <w:p>
      <w:pPr>
        <w:pStyle w:val="ListBullet"/>
      </w:pPr>
      <w:r>
        <w:rPr>
          <w:b/>
        </w:rPr>
        <w:t xml:space="preserve">Time Horizon: </w:t>
      </w:r>
      <w:r>
        <w:t>Position — 10-15 days</w:t>
      </w:r>
    </w:p>
    <w:p>
      <w:pPr>
        <w:pStyle w:val="ListBullet"/>
      </w:pPr>
      <w:r>
        <w:rPr>
          <w:b/>
        </w:rPr>
        <w:t xml:space="preserve">Entry Zone: </w:t>
      </w:r>
      <w:r>
        <w:t>SPX 6,500-6,550 / DXY 99.20-99.80</w:t>
      </w:r>
    </w:p>
    <w:p>
      <w:pPr>
        <w:pStyle w:val="ListBullet"/>
      </w:pPr>
      <w:r>
        <w:rPr>
          <w:b/>
        </w:rPr>
        <w:t xml:space="preserve">Stop-Loss: </w:t>
      </w:r>
      <w:r>
        <w:t>SPX 6,700, DXY 98.80 (stop both legs simultaneously)</w:t>
      </w:r>
    </w:p>
    <w:p>
      <w:pPr>
        <w:pStyle w:val="ListBullet"/>
      </w:pPr>
      <w:r>
        <w:rPr>
          <w:b/>
        </w:rPr>
        <w:t xml:space="preserve">Target 1: </w:t>
      </w:r>
      <w:r>
        <w:t>SPX 6,200 / DXY 100.50 (economic data repricing)</w:t>
      </w:r>
    </w:p>
    <w:p>
      <w:pPr>
        <w:pStyle w:val="ListBullet"/>
      </w:pPr>
      <w:r>
        <w:rPr>
          <w:b/>
        </w:rPr>
        <w:t xml:space="preserve">Target 2: </w:t>
      </w:r>
      <w:r>
        <w:t>SPX 5,900 / DXY 101.50 (structural deleveraging if credit spreads widen 50 bps+)</w:t>
      </w:r>
    </w:p>
    <w:p>
      <w:pPr>
        <w:pStyle w:val="ListBullet"/>
      </w:pPr>
      <w:r>
        <w:rPr>
          <w:b/>
        </w:rPr>
        <w:t xml:space="preserve">R:R Ratio: </w:t>
      </w:r>
      <w:r>
        <w:t>1.6 : 1 (directional pair trade)</w:t>
      </w:r>
    </w:p>
    <w:p>
      <w:pPr>
        <w:pStyle w:val="ListBullet"/>
      </w:pPr>
      <w:r>
        <w:rPr>
          <w:b/>
        </w:rPr>
        <w:t xml:space="preserve">Position Size: </w:t>
      </w:r>
      <w:r>
        <w:t>Conservative — macro environment unsettled, execution tricky</w:t>
      </w:r>
    </w:p>
    <w:p>
      <w:pPr>
        <w:pStyle w:val="Heading3"/>
      </w:pPr>
      <w:r>
        <w:t>Thesis:</w:t>
      </w:r>
    </w:p>
    <w:p>
      <w:r>
        <w:t>Mega-cap tech concentration is a compression trade: these stocks benefit from low rates but suffer massively from inflation shocks. SPX exposure is concentrated—top 10 stocks = 39% of index. If oil stays elevated and Fed reprices higher, mega-cap multiples compress while dividend/energy names re-rate higher. DXY strength suggests institutional capital is rotating into USD havens, away from leveraged tech. This is a tactical 10-day trade, not a structural short; the setup works only if Iran tensions persist beyond Tuesday. If resolution happens, reverse immediately.</w:t>
      </w:r>
    </w:p>
    <w:p>
      <w:pPr>
        <w:spacing w:after="240"/>
      </w:pPr>
      <w:r>
        <w:t>Chart: https://www.tradingview.com/chart/?symbol=SP:SPX</w:t>
      </w:r>
    </w:p>
    <w:p>
      <w:pPr>
        <w:pStyle w:val="Heading2"/>
        <w:spacing w:before="120" w:after="120"/>
      </w:pPr>
      <w:r>
        <w:t>IDEA #5 [CONVICTION: ★★☆☆☆] EUR/USD Short — Dollar Strength Play [WATCHLIST]</w:t>
      </w:r>
    </w:p>
    <w:p>
      <w:pPr>
        <w:pStyle w:val="ListBullet"/>
      </w:pPr>
      <w:r>
        <w:rPr>
          <w:b/>
        </w:rPr>
        <w:t xml:space="preserve">Direction: </w:t>
      </w:r>
      <w:r>
        <w:t>SHORT</w:t>
      </w:r>
    </w:p>
    <w:p>
      <w:pPr>
        <w:pStyle w:val="ListBullet"/>
      </w:pPr>
      <w:r>
        <w:rPr>
          <w:b/>
        </w:rPr>
        <w:t xml:space="preserve">Time Horizon: </w:t>
      </w:r>
      <w:r>
        <w:t>Position trade — 2-3 weeks</w:t>
      </w:r>
    </w:p>
    <w:p>
      <w:pPr>
        <w:pStyle w:val="ListBullet"/>
      </w:pPr>
      <w:r>
        <w:rPr>
          <w:b/>
        </w:rPr>
        <w:t xml:space="preserve">Entry Zone: </w:t>
      </w:r>
      <w:r>
        <w:t>1.1550-1.1600 (overextended rallies)</w:t>
      </w:r>
    </w:p>
    <w:p>
      <w:pPr>
        <w:pStyle w:val="ListBullet"/>
      </w:pPr>
      <w:r>
        <w:rPr>
          <w:b/>
        </w:rPr>
        <w:t xml:space="preserve">Stop-Loss: </w:t>
      </w:r>
      <w:r>
        <w:t>1.1750 — Invalidation: ECB rate cuts accelerate faster than Fed</w:t>
      </w:r>
    </w:p>
    <w:p>
      <w:pPr>
        <w:pStyle w:val="ListBullet"/>
      </w:pPr>
      <w:r>
        <w:rPr>
          <w:b/>
        </w:rPr>
        <w:t xml:space="preserve">Target 1: </w:t>
      </w:r>
      <w:r>
        <w:t>1.1250 (structural mean reversion on rate differential)</w:t>
      </w:r>
    </w:p>
    <w:p>
      <w:pPr>
        <w:pStyle w:val="ListBullet"/>
      </w:pPr>
      <w:r>
        <w:rPr>
          <w:b/>
        </w:rPr>
        <w:t xml:space="preserve">Target 2: </w:t>
      </w:r>
      <w:r>
        <w:t>1.1000 (extreme case if global equities rout forces margin calls)</w:t>
      </w:r>
    </w:p>
    <w:p>
      <w:pPr>
        <w:pStyle w:val="ListBullet"/>
      </w:pPr>
      <w:r>
        <w:rPr>
          <w:b/>
        </w:rPr>
        <w:t xml:space="preserve">R:R Ratio: </w:t>
      </w:r>
      <w:r>
        <w:t>1.9 : 1</w:t>
      </w:r>
    </w:p>
    <w:p>
      <w:pPr>
        <w:pStyle w:val="ListBullet"/>
      </w:pPr>
      <w:r>
        <w:rPr>
          <w:b/>
        </w:rPr>
        <w:t xml:space="preserve">Position Size: </w:t>
      </w:r>
      <w:r>
        <w:t>Conservative — lower urgency, build position on rallies only</w:t>
      </w:r>
    </w:p>
    <w:p>
      <w:pPr>
        <w:pStyle w:val="Heading3"/>
      </w:pPr>
      <w:r>
        <w:t>Thesis:</w:t>
      </w:r>
    </w:p>
    <w:p>
      <w:r>
        <w:t>EUR/USD is structurally overvalued at 1.15+ given the ECB is hiking while Fed may pause. Oil shock pushes ECB into tighter monetary stance (energy inflation), but EUR strength actually works against ECB's export-sensitive economy. Meanwhile, USD benefits from: (1) safe-haven flows, (2) relative rate advantage vs EUR, (3) oil pricing in USD. This is a medium-conviction mean-reversion trade; enter on any spike above 1.16. Not an immediate tactical setup, but a 3-week entry window exists as geopolitical tensions persist.</w:t>
      </w:r>
    </w:p>
    <w:p>
      <w:pPr>
        <w:spacing w:after="240"/>
      </w:pPr>
      <w:r>
        <w:t>Chart: https://www.tradingview.com/chart/?symbol=FX:EURUSD</w:t>
      </w:r>
    </w:p>
    <w:p>
      <w:pPr>
        <w:pStyle w:val="Heading1"/>
        <w:spacing w:before="240" w:after="240"/>
      </w:pPr>
      <w:r>
        <w:t>SECTION 4 — MACRO THEMES WORTH MONITORING</w:t>
      </w:r>
    </w:p>
    <w:p>
      <w:pPr>
        <w:pStyle w:val="Heading2"/>
        <w:spacing w:after="60"/>
      </w:pPr>
      <w:r>
        <w:t>Theme 1: Energy Supercycle Trigger</w:t>
      </w:r>
    </w:p>
    <w:p>
      <w:pPr>
        <w:spacing w:after="60"/>
      </w:pPr>
      <w:r>
        <w:rPr>
          <w:b/>
        </w:rPr>
        <w:t xml:space="preserve">Status: </w:t>
      </w:r>
      <w:r>
        <w:t>Active / Escalating</w:t>
      </w:r>
    </w:p>
    <w:p>
      <w:pPr>
        <w:spacing w:after="60"/>
      </w:pPr>
      <w:r>
        <w:rPr>
          <w:b/>
        </w:rPr>
        <w:t xml:space="preserve">Assets Affected: </w:t>
      </w:r>
      <w:r>
        <w:t>WTI/Brent crude, XLE, integrated oils (CVX, XOM), USD</w:t>
      </w:r>
    </w:p>
    <w:p>
      <w:pPr>
        <w:spacing w:after="240"/>
      </w:pPr>
      <w:r>
        <w:rPr>
          <w:b/>
        </w:rPr>
        <w:t xml:space="preserve">Opportunity: </w:t>
      </w:r>
      <w:r>
        <w:t>If Strait of Hormuz closure persists beyond 2 weeks, structural supply deficit = 18-24 month uptrend in energy. Rotation out of mega-cap tech into energy/staples becomes secular, not cyclical. Early position builders should own XLE, diversified commodity producers, and energy dividend aristocrats.</w:t>
      </w:r>
    </w:p>
    <w:p>
      <w:pPr>
        <w:pStyle w:val="Heading2"/>
        <w:spacing w:after="60"/>
      </w:pPr>
      <w:r>
        <w:t>Theme 2: Real Rates / Inflation Playbook Reversal</w:t>
      </w:r>
    </w:p>
    <w:p>
      <w:pPr>
        <w:spacing w:after="60"/>
      </w:pPr>
      <w:r>
        <w:rPr>
          <w:b/>
        </w:rPr>
        <w:t xml:space="preserve">Status: </w:t>
      </w:r>
      <w:r>
        <w:t>Active</w:t>
      </w:r>
    </w:p>
    <w:p>
      <w:pPr>
        <w:spacing w:after="60"/>
      </w:pPr>
      <w:r>
        <w:rPr>
          <w:b/>
        </w:rPr>
        <w:t xml:space="preserve">Assets Affected: </w:t>
      </w:r>
      <w:r>
        <w:t>US Treasuries, tech equities, bonds, commodities</w:t>
      </w:r>
    </w:p>
    <w:p>
      <w:pPr>
        <w:spacing w:after="240"/>
      </w:pPr>
      <w:r>
        <w:rPr>
          <w:b/>
        </w:rPr>
        <w:t xml:space="preserve">Opportunity: </w:t>
      </w:r>
      <w:r>
        <w:t>Last 18 months, 'inflation is transitory' drove duration longs and rate cuts. Iran war scenario forces complete reversal: energy inflation is sticky, Fed delays cuts indefinitely. A 50-75 bp repricing in 10Y yields over next 4 weeks is likely. Long-dated bonds will underperform. Energy and inflation-hedge plays outperform growth names.</w:t>
      </w:r>
    </w:p>
    <w:p>
      <w:pPr>
        <w:pStyle w:val="Heading2"/>
        <w:spacing w:after="60"/>
      </w:pPr>
      <w:r>
        <w:t>Theme 3: Geopolitical Risk Premium Normalization</w:t>
      </w:r>
    </w:p>
    <w:p>
      <w:pPr>
        <w:spacing w:after="60"/>
      </w:pPr>
      <w:r>
        <w:rPr>
          <w:b/>
        </w:rPr>
        <w:t xml:space="preserve">Status: </w:t>
      </w:r>
      <w:r>
        <w:t>Building</w:t>
      </w:r>
    </w:p>
    <w:p>
      <w:pPr>
        <w:spacing w:after="60"/>
      </w:pPr>
      <w:r>
        <w:rPr>
          <w:b/>
        </w:rPr>
        <w:t xml:space="preserve">Assets Affected: </w:t>
      </w:r>
      <w:r>
        <w:t>VIX, equity skew, FX volatility</w:t>
      </w:r>
    </w:p>
    <w:p>
      <w:pPr>
        <w:spacing w:after="240"/>
      </w:pPr>
      <w:r>
        <w:rPr>
          <w:b/>
        </w:rPr>
        <w:t xml:space="preserve">Opportunity: </w:t>
      </w:r>
      <w:r>
        <w:t>VIX at 26 is still below historical geopolitical crisis levels (2011 Libyan unrest = VIX 48). If Strait of Hormuz tensions persist, VIX targets 35+, skew widens, tail risk hedges rally. Options traders: vol term structures are inverted—front-month vol (next 2 weeks) significantly overpriced vs future vol. Reduce near-term hedges, extend duration of long-vol positions if setting up for April escalation scenarios.</w:t>
      </w:r>
    </w:p>
    <w:p>
      <w:pPr>
        <w:pStyle w:val="Heading1"/>
        <w:spacing w:before="240" w:after="240"/>
      </w:pPr>
      <w:r>
        <w:t>SECTION 5 — RISK DASHBOARD</w:t>
      </w:r>
    </w:p>
    <w:p>
      <w:pPr>
        <w:pStyle w:val="Heading2"/>
        <w:spacing w:after="240"/>
      </w:pPr>
      <w:r>
        <w:t>Overall Market Risk Level Today: 🔴 HIGH</w:t>
      </w:r>
    </w:p>
    <w:p>
      <w:pPr>
        <w:pStyle w:val="Heading2"/>
        <w:spacing w:after="120"/>
      </w:pPr>
      <w:r>
        <w:t>Top 3 Tail Risks Right Now:</w:t>
      </w:r>
    </w:p>
    <w:p>
      <w:pPr>
        <w:pStyle w:val="ListNumber"/>
        <w:spacing w:after="120"/>
      </w:pPr>
      <w:r>
        <w:t>Iran escalates beyond Trump's ultimatum (Mon-Tue), Strait of Hormuz physically blockaded → Oil spikes to $115-125, triggering immediate 200+ bp repricing in yields, SPX drawdown 5-8% within 2 trading days, credit spreads widen 60-80 bps, high-yield forced selling. Probability: 35%.</w:t>
      </w:r>
    </w:p>
    <w:p>
      <w:pPr>
        <w:pStyle w:val="ListNumber"/>
        <w:spacing w:after="120"/>
      </w:pPr>
      <w:r>
        <w:t>Equity-credit correlation breakdown: junk bond spreads blow out while equities hold → Indicates institutional forced selling from systematic funds, potential cascade in prime broker leverage. Margin calls accelerate. SPX downside to 6,000-6,100 within 1 week. Probability: 20%.</w:t>
      </w:r>
    </w:p>
    <w:p>
      <w:pPr>
        <w:pStyle w:val="ListNumber"/>
        <w:spacing w:after="240"/>
      </w:pPr>
      <w:r>
        <w:t>Fed refuses to acknowledge sticky inflation, maintains 'patient' rhetoric this week → Bond market reprices ahead of Fed, real rates gap widens, USD rallies past 101, emerging market volatility spikes. Carry trades unwind, commodity volatility cascades. Probability: 25%.</w:t>
      </w:r>
    </w:p>
    <w:p>
      <w:pPr>
        <w:pStyle w:val="Heading2"/>
        <w:spacing w:after="120"/>
      </w:pPr>
      <w:r>
        <w:t>What Would Change My Outlook to MORE Bullish:</w:t>
      </w:r>
    </w:p>
    <w:p>
      <w:pPr>
        <w:spacing w:after="240"/>
      </w:pPr>
      <w:r>
        <w:t>Secret negotiations between Iran and US produce Hormuz reopening commitment + explicit timeline for de-escalation. Oil falls to $75 within 5 trading days, tech multiples re-expand, VIX compresses to 16, gold rallies back to $4,800 level (capitulation reversal).</w:t>
      </w:r>
    </w:p>
    <w:p>
      <w:pPr>
        <w:pStyle w:val="Heading2"/>
        <w:spacing w:after="120"/>
      </w:pPr>
      <w:r>
        <w:t>What Would Change My Outlook to MORE Bearish:</w:t>
      </w:r>
    </w:p>
    <w:p>
      <w:pPr>
        <w:spacing w:after="240"/>
      </w:pPr>
      <w:r>
        <w:t>Trump administration initiates strikes on Iranian power plants (executing the threat), oil spikes $120+ intraday, Strait effectively closed for 30+ days, market reprices 'stagflation' scenario permanently. Recession probability jumps from 25% to 45%, SPX fair value drops to 5,800.</w:t>
      </w:r>
    </w:p>
    <w:p>
      <w:pPr>
        <w:pStyle w:val="Heading2"/>
        <w:spacing w:after="120"/>
      </w:pPr>
      <w:r>
        <w:t>Hedging Note:</w:t>
      </w:r>
    </w:p>
    <w:p>
      <w:pPr>
        <w:spacing w:after="240"/>
      </w:pPr>
      <w:r>
        <w:t>Buy VIX call spreads (long $28 calls / short $35 calls) for next 30 days; they're cheap at 0.80-1.00 width, and delta-hedged upside is asymmetric if Hormuz escalates. For long equity portfolios, QQQ puts are preferable to SPY puts given tech drawdown risk is -10 to -12% vs market -5%.</w:t>
      </w:r>
    </w:p>
    <w:p>
      <w:pPr>
        <w:pStyle w:val="Heading1"/>
        <w:spacing w:before="240" w:after="240"/>
      </w:pPr>
      <w:r>
        <w:t>SECTION 6 — ANALYST'S ONE-PARAGRAPH SUMMARY</w:t>
      </w:r>
    </w:p>
    <w:p>
      <w:pPr>
        <w:spacing w:after="360"/>
      </w:pPr>
      <w:r>
        <w:t>Markets face a binary outcome this week: either the Iran conflict escalates and forces a structural repricing of inflation expectations (bullish energy, bearish duration and growth), or Trump secures a Hormuz reopening commitment and a tactical unwinding occurs (negative energy, positive mega-cap tech). The consensus is massively long equities as a stable inflation hedge—this is the crowd to fade. The prudent move is to reduce tactical equity exposure into any Monday rally, lock in 1-2% hedges via QQQ puts or VIX call spreads, and position for a 10-day consolidation window before direction clarifies. Energy and USD strength are your best macro bets; duration and growth are your biggest risks. I am raising risk guardrails this week—stop losses are non-negotiable given event-driven volatility. The market's four-week selloff has positioned us for a bounce, but escalation trumps technical oversold metrics every time.</w:t>
      </w:r>
    </w:p>
    <w:p/>
    <w:p>
      <w:pPr>
        <w:spacing w:after="120"/>
        <w:jc w:val="center"/>
      </w:pPr>
      <w:r>
        <w:t>======================================================================</w:t>
      </w:r>
    </w:p>
    <w:p>
      <w:pPr>
        <w:spacing w:after="60"/>
        <w:jc w:val="center"/>
      </w:pPr>
      <w:r>
        <w:t>END OF REPORT  |  Next report: Monday, March 23, 2026 (pre-market)</w:t>
      </w:r>
    </w:p>
    <w:p>
      <w:pPr>
        <w:spacing w:after="240"/>
        <w:jc w:val="center"/>
      </w:pPr>
      <w:r>
        <w:t>This report is for personal research and educational use only.</w:t>
        <w:br/>
        <w:t>Not financial advice. Always apply your own due diligence.</w:t>
      </w:r>
    </w:p>
    <w:p>
      <w:pPr>
        <w:pStyle w:val="Heading3"/>
        <w:spacing w:before="240" w:after="120"/>
      </w:pPr>
      <w:r>
        <w:t>REPORT METADATA</w:t>
      </w:r>
    </w:p>
    <w:p>
      <w:pPr>
        <w:pStyle w:val="ListBullet"/>
        <w:spacing w:after="60"/>
      </w:pPr>
      <w:r>
        <w:t>Report Generated: Sunday, March 22, 2026, 14:30 UTC</w:t>
      </w:r>
    </w:p>
    <w:p>
      <w:pPr>
        <w:pStyle w:val="ListBullet"/>
        <w:spacing w:after="60"/>
      </w:pPr>
      <w:r>
        <w:t>Analyst: PrudentSigma Research Framework</w:t>
      </w:r>
    </w:p>
    <w:p>
      <w:pPr>
        <w:pStyle w:val="ListBullet"/>
        <w:spacing w:after="60"/>
      </w:pPr>
      <w:r>
        <w:t>Data Sources: CNBC, Bloomberg, Business Insider Markets (as of 3/20-3/21/2026)</w:t>
      </w:r>
    </w:p>
    <w:p>
      <w:pPr>
        <w:pStyle w:val="ListBullet"/>
        <w:spacing w:after="60"/>
      </w:pPr>
      <w:r>
        <w:t>Quality Check: All prices sourced from live data ✓ | All ideas have R:R ≥1.5:1 ✓ | Tail risks specific &amp; quantified ✓</w:t>
      </w:r>
    </w:p>
    <w:p>
      <w:pPr>
        <w:pStyle w:val="ListBullet"/>
        <w:spacing w:after="60"/>
      </w:pPr>
      <w:r>
        <w:t>Next Update: Monday 3/23 pre-market (7:00 AM EDT)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