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Oracle Corporation (ORCL) - DCF Valuation &amp; Intrinsic Value</w:t>
      </w:r>
    </w:p>
    <w:p>
      <w:r>
        <w:t>Generated: April 13, 2026 | Research Type: DCF Valuation</w:t>
      </w:r>
    </w:p>
    <w:p>
      <w:r>
        <w:t>Note: Financial Datasets and Exa MCP servers unavailable. Analysis based on publicly available web data.</w:t>
      </w:r>
    </w:p>
    <w:p/>
    <w:p>
      <w:pPr>
        <w:pStyle w:val="Heading1"/>
      </w:pPr>
      <w:r>
        <w:t>1. Business Overview</w:t>
      </w:r>
    </w:p>
    <w:p>
      <w:r>
        <w:t>Oracle Corporation is the world's largest enterprise database software company, pivoting aggressively into cloud infrastructure (OCI) and AI services. Revenue for the twelve months ending February 2026 reached $64.1B (+14.9% YoY), with cloud segment growing 44% YoY in Q3 FY26. The company is targeting $90B in revenue by FY2027, backed by a $30B+ AI infrastructure fundraising programme.</w:t>
      </w:r>
    </w:p>
    <w:p>
      <w:pPr>
        <w:pStyle w:val="Heading1"/>
      </w:pPr>
      <w:r>
        <w:t>2. Current Price &amp; Market Data</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b/>
                <w:sz w:val="20"/>
              </w:rPr>
              <w:t>Current Price</w:t>
            </w:r>
          </w:p>
        </w:tc>
        <w:tc>
          <w:tcPr>
            <w:tcW w:type="dxa" w:w="4320"/>
          </w:tcPr>
          <w:p>
            <w:r>
              <w:rPr>
                <w:sz w:val="20"/>
              </w:rPr>
              <w:t>$138.09 (Apr 10, 2026)</w:t>
            </w:r>
          </w:p>
        </w:tc>
      </w:tr>
      <w:tr>
        <w:tc>
          <w:tcPr>
            <w:tcW w:type="dxa" w:w="4320"/>
          </w:tcPr>
          <w:p>
            <w:r>
              <w:rPr>
                <w:b/>
                <w:sz w:val="20"/>
              </w:rPr>
              <w:t>Market Cap</w:t>
            </w:r>
          </w:p>
        </w:tc>
        <w:tc>
          <w:tcPr>
            <w:tcW w:type="dxa" w:w="4320"/>
          </w:tcPr>
          <w:p>
            <w:r>
              <w:rPr>
                <w:sz w:val="20"/>
              </w:rPr>
              <w:t>$397.2B</w:t>
            </w:r>
          </w:p>
        </w:tc>
      </w:tr>
      <w:tr>
        <w:tc>
          <w:tcPr>
            <w:tcW w:type="dxa" w:w="4320"/>
          </w:tcPr>
          <w:p>
            <w:r>
              <w:rPr>
                <w:b/>
                <w:sz w:val="20"/>
              </w:rPr>
              <w:t>Shares Outstanding</w:t>
            </w:r>
          </w:p>
        </w:tc>
        <w:tc>
          <w:tcPr>
            <w:tcW w:type="dxa" w:w="4320"/>
          </w:tcPr>
          <w:p>
            <w:r>
              <w:rPr>
                <w:sz w:val="20"/>
              </w:rPr>
              <w:t>2.81B</w:t>
            </w:r>
          </w:p>
        </w:tc>
      </w:tr>
      <w:tr>
        <w:tc>
          <w:tcPr>
            <w:tcW w:type="dxa" w:w="4320"/>
          </w:tcPr>
          <w:p>
            <w:r>
              <w:rPr>
                <w:b/>
                <w:sz w:val="20"/>
              </w:rPr>
              <w:t>Total Debt</w:t>
            </w:r>
          </w:p>
        </w:tc>
        <w:tc>
          <w:tcPr>
            <w:tcW w:type="dxa" w:w="4320"/>
          </w:tcPr>
          <w:p>
            <w:r>
              <w:rPr>
                <w:sz w:val="20"/>
              </w:rPr>
              <w:t>$95.5B</w:t>
            </w:r>
          </w:p>
        </w:tc>
      </w:tr>
      <w:tr>
        <w:tc>
          <w:tcPr>
            <w:tcW w:type="dxa" w:w="4320"/>
          </w:tcPr>
          <w:p>
            <w:r>
              <w:rPr>
                <w:b/>
                <w:sz w:val="20"/>
              </w:rPr>
              <w:t>Cash</w:t>
            </w:r>
          </w:p>
        </w:tc>
        <w:tc>
          <w:tcPr>
            <w:tcW w:type="dxa" w:w="4320"/>
          </w:tcPr>
          <w:p>
            <w:r>
              <w:rPr>
                <w:sz w:val="20"/>
              </w:rPr>
              <w:t>$10.8B</w:t>
            </w:r>
          </w:p>
        </w:tc>
      </w:tr>
      <w:tr>
        <w:tc>
          <w:tcPr>
            <w:tcW w:type="dxa" w:w="4320"/>
          </w:tcPr>
          <w:p>
            <w:r>
              <w:rPr>
                <w:b/>
                <w:sz w:val="20"/>
              </w:rPr>
              <w:t>Net Debt</w:t>
            </w:r>
          </w:p>
        </w:tc>
        <w:tc>
          <w:tcPr>
            <w:tcW w:type="dxa" w:w="4320"/>
          </w:tcPr>
          <w:p>
            <w:r>
              <w:rPr>
                <w:sz w:val="20"/>
              </w:rPr>
              <w:t>$84.7B</w:t>
            </w:r>
          </w:p>
        </w:tc>
      </w:tr>
      <w:tr>
        <w:tc>
          <w:tcPr>
            <w:tcW w:type="dxa" w:w="4320"/>
          </w:tcPr>
          <w:p>
            <w:r>
              <w:rPr>
                <w:b/>
                <w:sz w:val="20"/>
              </w:rPr>
              <w:t>Enterprise Value (Market Implied)</w:t>
            </w:r>
          </w:p>
        </w:tc>
        <w:tc>
          <w:tcPr>
            <w:tcW w:type="dxa" w:w="4320"/>
          </w:tcPr>
          <w:p>
            <w:r>
              <w:rPr>
                <w:sz w:val="20"/>
              </w:rPr>
              <w:t>$481.9B</w:t>
            </w:r>
          </w:p>
        </w:tc>
      </w:tr>
    </w:tbl>
    <w:p/>
    <w:p>
      <w:pPr>
        <w:pStyle w:val="Heading1"/>
      </w:pPr>
      <w:r>
        <w:t>3. FCF History (FY2021-FY2025, Fiscal Year Ends May 31)</w:t>
      </w:r>
    </w:p>
    <w:p>
      <w:r>
        <w:t>FY2025 is distorted by a $20B+ AI infrastructure capex surge. Base FCF uses FY2024 ($11.8B).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Fiscal Year</w:t>
            </w:r>
          </w:p>
        </w:tc>
        <w:tc>
          <w:tcPr>
            <w:tcW w:type="dxa" w:w="2880"/>
          </w:tcPr>
          <w:p>
            <w:r>
              <w:rPr>
                <w:b/>
                <w:sz w:val="20"/>
              </w:rPr>
              <w:t>Free Cash Flow</w:t>
            </w:r>
          </w:p>
        </w:tc>
        <w:tc>
          <w:tcPr>
            <w:tcW w:type="dxa" w:w="2880"/>
          </w:tcPr>
          <w:p>
            <w:r>
              <w:rPr>
                <w:b/>
                <w:sz w:val="20"/>
              </w:rPr>
              <w:t>Notes</w:t>
            </w:r>
          </w:p>
        </w:tc>
      </w:tr>
      <w:tr>
        <w:tc>
          <w:tcPr>
            <w:tcW w:type="dxa" w:w="2880"/>
          </w:tcPr>
          <w:p>
            <w:r>
              <w:rPr>
                <w:sz w:val="20"/>
              </w:rPr>
              <w:t>FY2021</w:t>
            </w:r>
          </w:p>
        </w:tc>
        <w:tc>
          <w:tcPr>
            <w:tcW w:type="dxa" w:w="2880"/>
          </w:tcPr>
          <w:p>
            <w:r>
              <w:rPr>
                <w:sz w:val="20"/>
              </w:rPr>
              <w:t>~$13.5B</w:t>
            </w:r>
          </w:p>
        </w:tc>
        <w:tc>
          <w:tcPr>
            <w:tcW w:type="dxa" w:w="2880"/>
          </w:tcPr>
          <w:p>
            <w:r>
              <w:rPr>
                <w:sz w:val="20"/>
              </w:rPr>
              <w:t>Pre-Cerner, strong FCF</w:t>
            </w:r>
          </w:p>
        </w:tc>
      </w:tr>
      <w:tr>
        <w:tc>
          <w:tcPr>
            <w:tcW w:type="dxa" w:w="2880"/>
          </w:tcPr>
          <w:p>
            <w:r>
              <w:rPr>
                <w:sz w:val="20"/>
              </w:rPr>
              <w:t>FY2022</w:t>
            </w:r>
          </w:p>
        </w:tc>
        <w:tc>
          <w:tcPr>
            <w:tcW w:type="dxa" w:w="2880"/>
          </w:tcPr>
          <w:p>
            <w:r>
              <w:rPr>
                <w:sz w:val="20"/>
              </w:rPr>
              <w:t>~$9.4B</w:t>
            </w:r>
          </w:p>
        </w:tc>
        <w:tc>
          <w:tcPr>
            <w:tcW w:type="dxa" w:w="2880"/>
          </w:tcPr>
          <w:p>
            <w:r>
              <w:rPr>
                <w:sz w:val="20"/>
              </w:rPr>
              <w:t>Cerner acquisition capex</w:t>
            </w:r>
          </w:p>
        </w:tc>
      </w:tr>
      <w:tr>
        <w:tc>
          <w:tcPr>
            <w:tcW w:type="dxa" w:w="2880"/>
          </w:tcPr>
          <w:p>
            <w:r>
              <w:rPr>
                <w:sz w:val="20"/>
              </w:rPr>
              <w:t>FY2023</w:t>
            </w:r>
          </w:p>
        </w:tc>
        <w:tc>
          <w:tcPr>
            <w:tcW w:type="dxa" w:w="2880"/>
          </w:tcPr>
          <w:p>
            <w:r>
              <w:rPr>
                <w:sz w:val="20"/>
              </w:rPr>
              <w:t>~$8.5B</w:t>
            </w:r>
          </w:p>
        </w:tc>
        <w:tc>
          <w:tcPr>
            <w:tcW w:type="dxa" w:w="2880"/>
          </w:tcPr>
          <w:p>
            <w:r>
              <w:rPr>
                <w:sz w:val="20"/>
              </w:rPr>
              <w:t>Integration costs</w:t>
            </w:r>
          </w:p>
        </w:tc>
      </w:tr>
      <w:tr>
        <w:tc>
          <w:tcPr>
            <w:tcW w:type="dxa" w:w="2880"/>
          </w:tcPr>
          <w:p>
            <w:r>
              <w:rPr>
                <w:sz w:val="20"/>
              </w:rPr>
              <w:t>FY2024</w:t>
            </w:r>
          </w:p>
        </w:tc>
        <w:tc>
          <w:tcPr>
            <w:tcW w:type="dxa" w:w="2880"/>
          </w:tcPr>
          <w:p>
            <w:r>
              <w:rPr>
                <w:sz w:val="20"/>
              </w:rPr>
              <w:t>$11.8B</w:t>
            </w:r>
          </w:p>
        </w:tc>
        <w:tc>
          <w:tcPr>
            <w:tcW w:type="dxa" w:w="2880"/>
          </w:tcPr>
          <w:p>
            <w:r>
              <w:rPr>
                <w:sz w:val="20"/>
              </w:rPr>
              <w:t>Recovery, +39.4% YoY</w:t>
            </w:r>
          </w:p>
        </w:tc>
      </w:tr>
      <w:tr>
        <w:tc>
          <w:tcPr>
            <w:tcW w:type="dxa" w:w="2880"/>
          </w:tcPr>
          <w:p>
            <w:r>
              <w:rPr>
                <w:sz w:val="20"/>
              </w:rPr>
              <w:t>FY2025</w:t>
            </w:r>
          </w:p>
        </w:tc>
        <w:tc>
          <w:tcPr>
            <w:tcW w:type="dxa" w:w="2880"/>
          </w:tcPr>
          <w:p>
            <w:r>
              <w:rPr>
                <w:sz w:val="20"/>
              </w:rPr>
              <w:t>-$0.4B</w:t>
            </w:r>
          </w:p>
        </w:tc>
        <w:tc>
          <w:tcPr>
            <w:tcW w:type="dxa" w:w="2880"/>
          </w:tcPr>
          <w:p>
            <w:r>
              <w:rPr>
                <w:sz w:val="20"/>
              </w:rPr>
              <w:t>AI infrastructure capex surge (outlier)</w:t>
            </w:r>
          </w:p>
        </w:tc>
      </w:tr>
    </w:tbl>
    <w:p/>
    <w:p>
      <w:pPr>
        <w:pStyle w:val="Heading1"/>
      </w:pPr>
      <w:r>
        <w:t>4. WACC Estimation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Value</w:t>
            </w:r>
          </w:p>
        </w:tc>
        <w:tc>
          <w:tcPr>
            <w:tcW w:type="dxa" w:w="2880"/>
          </w:tcPr>
          <w:p>
            <w:r>
              <w:rPr>
                <w:b/>
                <w:sz w:val="20"/>
              </w:rPr>
              <w:t>Notes</w:t>
            </w:r>
          </w:p>
        </w:tc>
      </w:tr>
      <w:tr>
        <w:tc>
          <w:tcPr>
            <w:tcW w:type="dxa" w:w="2880"/>
          </w:tcPr>
          <w:p>
            <w:r>
              <w:rPr>
                <w:b/>
                <w:sz w:val="20"/>
              </w:rPr>
              <w:t>Risk-Free Rate</w:t>
            </w:r>
          </w:p>
        </w:tc>
        <w:tc>
          <w:tcPr>
            <w:tcW w:type="dxa" w:w="2880"/>
          </w:tcPr>
          <w:p>
            <w:r>
              <w:rPr>
                <w:sz w:val="20"/>
              </w:rPr>
              <w:t>4.3%</w:t>
            </w:r>
          </w:p>
        </w:tc>
        <w:tc>
          <w:tcPr>
            <w:tcW w:type="dxa" w:w="2880"/>
          </w:tcPr>
          <w:p>
            <w:r>
              <w:rPr>
                <w:sz w:val="20"/>
              </w:rPr>
              <w:t>US 10Y Treasury, Apr 2026</w:t>
            </w:r>
          </w:p>
        </w:tc>
      </w:tr>
      <w:tr>
        <w:tc>
          <w:tcPr>
            <w:tcW w:type="dxa" w:w="2880"/>
          </w:tcPr>
          <w:p>
            <w:r>
              <w:rPr>
                <w:b/>
                <w:sz w:val="20"/>
              </w:rPr>
              <w:t>Beta</w:t>
            </w:r>
          </w:p>
        </w:tc>
        <w:tc>
          <w:tcPr>
            <w:tcW w:type="dxa" w:w="2880"/>
          </w:tcPr>
          <w:p>
            <w:r>
              <w:rPr>
                <w:sz w:val="20"/>
              </w:rPr>
              <w:t>0.96</w:t>
            </w:r>
          </w:p>
        </w:tc>
        <w:tc>
          <w:tcPr>
            <w:tcW w:type="dxa" w:w="2880"/>
          </w:tcPr>
          <w:p>
            <w:r>
              <w:rPr>
                <w:sz w:val="20"/>
              </w:rPr>
              <w:t>Enterprise software / cloud</w:t>
            </w:r>
          </w:p>
        </w:tc>
      </w:tr>
      <w:tr>
        <w:tc>
          <w:tcPr>
            <w:tcW w:type="dxa" w:w="2880"/>
          </w:tcPr>
          <w:p>
            <w:r>
              <w:rPr>
                <w:b/>
                <w:sz w:val="20"/>
              </w:rPr>
              <w:t>Equity Risk Premium</w:t>
            </w:r>
          </w:p>
        </w:tc>
        <w:tc>
          <w:tcPr>
            <w:tcW w:type="dxa" w:w="2880"/>
          </w:tcPr>
          <w:p>
            <w:r>
              <w:rPr>
                <w:sz w:val="20"/>
              </w:rPr>
              <w:t>5.0%</w:t>
            </w:r>
          </w:p>
        </w:tc>
        <w:tc>
          <w:tcPr>
            <w:tcW w:type="dxa" w:w="2880"/>
          </w:tcPr>
          <w:p>
            <w:r>
              <w:rPr>
                <w:sz w:val="20"/>
              </w:rPr>
              <w:t>Damodaran US ERP</w:t>
            </w:r>
          </w:p>
        </w:tc>
      </w:tr>
      <w:tr>
        <w:tc>
          <w:tcPr>
            <w:tcW w:type="dxa" w:w="2880"/>
          </w:tcPr>
          <w:p>
            <w:r>
              <w:rPr>
                <w:b/>
                <w:sz w:val="20"/>
              </w:rPr>
              <w:t>Cost of Equity</w:t>
            </w:r>
          </w:p>
        </w:tc>
        <w:tc>
          <w:tcPr>
            <w:tcW w:type="dxa" w:w="2880"/>
          </w:tcPr>
          <w:p>
            <w:r>
              <w:rPr>
                <w:sz w:val="20"/>
              </w:rPr>
              <w:t>9.1%</w:t>
            </w:r>
          </w:p>
        </w:tc>
        <w:tc>
          <w:tcPr>
            <w:tcW w:type="dxa" w:w="2880"/>
          </w:tcPr>
          <w:p>
            <w:r>
              <w:rPr>
                <w:sz w:val="20"/>
              </w:rPr>
              <w:t>4.3% + 0.96 x 5.0%</w:t>
            </w:r>
          </w:p>
        </w:tc>
      </w:tr>
      <w:tr>
        <w:tc>
          <w:tcPr>
            <w:tcW w:type="dxa" w:w="2880"/>
          </w:tcPr>
          <w:p>
            <w:r>
              <w:rPr>
                <w:b/>
                <w:sz w:val="20"/>
              </w:rPr>
              <w:t>Pre-Tax Cost of Debt</w:t>
            </w:r>
          </w:p>
        </w:tc>
        <w:tc>
          <w:tcPr>
            <w:tcW w:type="dxa" w:w="2880"/>
          </w:tcPr>
          <w:p>
            <w:r>
              <w:rPr>
                <w:sz w:val="20"/>
              </w:rPr>
              <w:t>4.55%</w:t>
            </w:r>
          </w:p>
        </w:tc>
        <w:tc>
          <w:tcPr>
            <w:tcW w:type="dxa" w:w="2880"/>
          </w:tcPr>
          <w:p>
            <w:r>
              <w:rPr>
                <w:sz w:val="20"/>
              </w:rPr>
              <w:t>Weighted avg. bond yield</w:t>
            </w:r>
          </w:p>
        </w:tc>
      </w:tr>
      <w:tr>
        <w:tc>
          <w:tcPr>
            <w:tcW w:type="dxa" w:w="2880"/>
          </w:tcPr>
          <w:p>
            <w:r>
              <w:rPr>
                <w:b/>
                <w:sz w:val="20"/>
              </w:rPr>
              <w:t>Tax Rate</w:t>
            </w:r>
          </w:p>
        </w:tc>
        <w:tc>
          <w:tcPr>
            <w:tcW w:type="dxa" w:w="2880"/>
          </w:tcPr>
          <w:p>
            <w:r>
              <w:rPr>
                <w:sz w:val="20"/>
              </w:rPr>
              <w:t>18%</w:t>
            </w:r>
          </w:p>
        </w:tc>
        <w:tc>
          <w:tcPr>
            <w:tcW w:type="dxa" w:w="2880"/>
          </w:tcPr>
          <w:p>
            <w:r>
              <w:rPr>
                <w:sz w:val="20"/>
              </w:rPr>
              <w:t>Oracle effective rate</w:t>
            </w:r>
          </w:p>
        </w:tc>
      </w:tr>
      <w:tr>
        <w:tc>
          <w:tcPr>
            <w:tcW w:type="dxa" w:w="2880"/>
          </w:tcPr>
          <w:p>
            <w:r>
              <w:rPr>
                <w:b/>
                <w:sz w:val="20"/>
              </w:rPr>
              <w:t>After-Tax Cost of Debt</w:t>
            </w:r>
          </w:p>
        </w:tc>
        <w:tc>
          <w:tcPr>
            <w:tcW w:type="dxa" w:w="2880"/>
          </w:tcPr>
          <w:p>
            <w:r>
              <w:rPr>
                <w:sz w:val="20"/>
              </w:rPr>
              <w:t>3.73%</w:t>
            </w:r>
          </w:p>
        </w:tc>
        <w:tc>
          <w:tcPr>
            <w:tcW w:type="dxa" w:w="2880"/>
          </w:tcPr>
          <w:p>
            <w:r>
              <w:rPr>
                <w:sz w:val="20"/>
              </w:rPr>
              <w:t>4.55% x (1 - 18%)</w:t>
            </w:r>
          </w:p>
        </w:tc>
      </w:tr>
      <w:tr>
        <w:tc>
          <w:tcPr>
            <w:tcW w:type="dxa" w:w="2880"/>
          </w:tcPr>
          <w:p>
            <w:r>
              <w:rPr>
                <w:b/>
                <w:sz w:val="20"/>
              </w:rPr>
              <w:t>Equity Weight</w:t>
            </w:r>
          </w:p>
        </w:tc>
        <w:tc>
          <w:tcPr>
            <w:tcW w:type="dxa" w:w="2880"/>
          </w:tcPr>
          <w:p>
            <w:r>
              <w:rPr>
                <w:sz w:val="20"/>
              </w:rPr>
              <w:t>80.6%</w:t>
            </w:r>
          </w:p>
        </w:tc>
        <w:tc>
          <w:tcPr>
            <w:tcW w:type="dxa" w:w="2880"/>
          </w:tcPr>
          <w:p>
            <w:r>
              <w:rPr>
                <w:sz w:val="20"/>
              </w:rPr>
              <w:t>$397B / $492.5B</w:t>
            </w:r>
          </w:p>
        </w:tc>
      </w:tr>
      <w:tr>
        <w:tc>
          <w:tcPr>
            <w:tcW w:type="dxa" w:w="2880"/>
          </w:tcPr>
          <w:p>
            <w:r>
              <w:rPr>
                <w:b/>
                <w:sz w:val="20"/>
              </w:rPr>
              <w:t>Debt Weight</w:t>
            </w:r>
          </w:p>
        </w:tc>
        <w:tc>
          <w:tcPr>
            <w:tcW w:type="dxa" w:w="2880"/>
          </w:tcPr>
          <w:p>
            <w:r>
              <w:rPr>
                <w:sz w:val="20"/>
              </w:rPr>
              <w:t>19.4%</w:t>
            </w:r>
          </w:p>
        </w:tc>
        <w:tc>
          <w:tcPr>
            <w:tcW w:type="dxa" w:w="2880"/>
          </w:tcPr>
          <w:p>
            <w:r>
              <w:rPr>
                <w:sz w:val="20"/>
              </w:rPr>
              <w:t>$95.5B / $492.5B</w:t>
            </w:r>
          </w:p>
        </w:tc>
      </w:tr>
      <w:tr>
        <w:tc>
          <w:tcPr>
            <w:tcW w:type="dxa" w:w="2880"/>
          </w:tcPr>
          <w:p>
            <w:r>
              <w:rPr>
                <w:b/>
                <w:sz w:val="20"/>
              </w:rPr>
              <w:t>BASE WACC</w:t>
            </w:r>
          </w:p>
        </w:tc>
        <w:tc>
          <w:tcPr>
            <w:tcW w:type="dxa" w:w="2880"/>
          </w:tcPr>
          <w:p>
            <w:r>
              <w:rPr>
                <w:sz w:val="20"/>
              </w:rPr>
              <w:t>8.0%</w:t>
            </w:r>
          </w:p>
        </w:tc>
        <w:tc>
          <w:tcPr>
            <w:tcW w:type="dxa" w:w="2880"/>
          </w:tcPr>
          <w:p>
            <w:r>
              <w:rPr>
                <w:sz w:val="20"/>
              </w:rPr>
              <w:t>80.6% x 9.1% + 19.4% x 3.73%</w:t>
            </w:r>
          </w:p>
        </w:tc>
      </w:tr>
    </w:tbl>
    <w:p/>
    <w:p>
      <w:pPr>
        <w:pStyle w:val="Heading1"/>
      </w:pPr>
      <w:r>
        <w:t>5. DCF Projections - Base Case (15% FCF Growth, 5 Years)</w:t>
      </w:r>
    </w:p>
    <w:p>
      <w:r>
        <w:t>Base FCF: $11.8B (FY2024). Growth: 15%/yr. WACC: 8.0%. Terminal Growth: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Year</w:t>
            </w:r>
          </w:p>
        </w:tc>
        <w:tc>
          <w:tcPr>
            <w:tcW w:type="dxa" w:w="2160"/>
          </w:tcPr>
          <w:p>
            <w:r>
              <w:rPr>
                <w:b/>
                <w:sz w:val="20"/>
              </w:rPr>
              <w:t>FCF ($B)</w:t>
            </w:r>
          </w:p>
        </w:tc>
        <w:tc>
          <w:tcPr>
            <w:tcW w:type="dxa" w:w="2160"/>
          </w:tcPr>
          <w:p>
            <w:r>
              <w:rPr>
                <w:b/>
                <w:sz w:val="20"/>
              </w:rPr>
              <w:t>Discount Factor (8%)</w:t>
            </w:r>
          </w:p>
        </w:tc>
        <w:tc>
          <w:tcPr>
            <w:tcW w:type="dxa" w:w="2160"/>
          </w:tcPr>
          <w:p>
            <w:r>
              <w:rPr>
                <w:b/>
                <w:sz w:val="20"/>
              </w:rPr>
              <w:t>PV ($B)</w:t>
            </w:r>
          </w:p>
        </w:tc>
      </w:tr>
      <w:tr>
        <w:tc>
          <w:tcPr>
            <w:tcW w:type="dxa" w:w="2160"/>
          </w:tcPr>
          <w:p>
            <w:r>
              <w:rPr>
                <w:b/>
                <w:sz w:val="20"/>
              </w:rPr>
              <w:t>FY2026E</w:t>
            </w:r>
          </w:p>
        </w:tc>
        <w:tc>
          <w:tcPr>
            <w:tcW w:type="dxa" w:w="2160"/>
          </w:tcPr>
          <w:p>
            <w:r>
              <w:rPr>
                <w:sz w:val="20"/>
              </w:rPr>
              <w:t>$13.6B</w:t>
            </w:r>
          </w:p>
        </w:tc>
        <w:tc>
          <w:tcPr>
            <w:tcW w:type="dxa" w:w="2160"/>
          </w:tcPr>
          <w:p>
            <w:r>
              <w:rPr>
                <w:sz w:val="20"/>
              </w:rPr>
              <w:t>0.926</w:t>
            </w:r>
          </w:p>
        </w:tc>
        <w:tc>
          <w:tcPr>
            <w:tcW w:type="dxa" w:w="2160"/>
          </w:tcPr>
          <w:p>
            <w:r>
              <w:rPr>
                <w:sz w:val="20"/>
              </w:rPr>
              <w:t>$12.6B</w:t>
            </w:r>
          </w:p>
        </w:tc>
      </w:tr>
      <w:tr>
        <w:tc>
          <w:tcPr>
            <w:tcW w:type="dxa" w:w="2160"/>
          </w:tcPr>
          <w:p>
            <w:r>
              <w:rPr>
                <w:b/>
                <w:sz w:val="20"/>
              </w:rPr>
              <w:t>FY2027E</w:t>
            </w:r>
          </w:p>
        </w:tc>
        <w:tc>
          <w:tcPr>
            <w:tcW w:type="dxa" w:w="2160"/>
          </w:tcPr>
          <w:p>
            <w:r>
              <w:rPr>
                <w:sz w:val="20"/>
              </w:rPr>
              <w:t>$15.6B</w:t>
            </w:r>
          </w:p>
        </w:tc>
        <w:tc>
          <w:tcPr>
            <w:tcW w:type="dxa" w:w="2160"/>
          </w:tcPr>
          <w:p>
            <w:r>
              <w:rPr>
                <w:sz w:val="20"/>
              </w:rPr>
              <w:t>0.857</w:t>
            </w:r>
          </w:p>
        </w:tc>
        <w:tc>
          <w:tcPr>
            <w:tcW w:type="dxa" w:w="2160"/>
          </w:tcPr>
          <w:p>
            <w:r>
              <w:rPr>
                <w:sz w:val="20"/>
              </w:rPr>
              <w:t>$13.4B</w:t>
            </w:r>
          </w:p>
        </w:tc>
      </w:tr>
      <w:tr>
        <w:tc>
          <w:tcPr>
            <w:tcW w:type="dxa" w:w="2160"/>
          </w:tcPr>
          <w:p>
            <w:r>
              <w:rPr>
                <w:b/>
                <w:sz w:val="20"/>
              </w:rPr>
              <w:t>FY2028E</w:t>
            </w:r>
          </w:p>
        </w:tc>
        <w:tc>
          <w:tcPr>
            <w:tcW w:type="dxa" w:w="2160"/>
          </w:tcPr>
          <w:p>
            <w:r>
              <w:rPr>
                <w:sz w:val="20"/>
              </w:rPr>
              <w:t>$17.9B</w:t>
            </w:r>
          </w:p>
        </w:tc>
        <w:tc>
          <w:tcPr>
            <w:tcW w:type="dxa" w:w="2160"/>
          </w:tcPr>
          <w:p>
            <w:r>
              <w:rPr>
                <w:sz w:val="20"/>
              </w:rPr>
              <w:t>0.794</w:t>
            </w:r>
          </w:p>
        </w:tc>
        <w:tc>
          <w:tcPr>
            <w:tcW w:type="dxa" w:w="2160"/>
          </w:tcPr>
          <w:p>
            <w:r>
              <w:rPr>
                <w:sz w:val="20"/>
              </w:rPr>
              <w:t>$14.2B</w:t>
            </w:r>
          </w:p>
        </w:tc>
      </w:tr>
      <w:tr>
        <w:tc>
          <w:tcPr>
            <w:tcW w:type="dxa" w:w="2160"/>
          </w:tcPr>
          <w:p>
            <w:r>
              <w:rPr>
                <w:b/>
                <w:sz w:val="20"/>
              </w:rPr>
              <w:t>FY2029E</w:t>
            </w:r>
          </w:p>
        </w:tc>
        <w:tc>
          <w:tcPr>
            <w:tcW w:type="dxa" w:w="2160"/>
          </w:tcPr>
          <w:p>
            <w:r>
              <w:rPr>
                <w:sz w:val="20"/>
              </w:rPr>
              <w:t>$20.6B</w:t>
            </w:r>
          </w:p>
        </w:tc>
        <w:tc>
          <w:tcPr>
            <w:tcW w:type="dxa" w:w="2160"/>
          </w:tcPr>
          <w:p>
            <w:r>
              <w:rPr>
                <w:sz w:val="20"/>
              </w:rPr>
              <w:t>0.735</w:t>
            </w:r>
          </w:p>
        </w:tc>
        <w:tc>
          <w:tcPr>
            <w:tcW w:type="dxa" w:w="2160"/>
          </w:tcPr>
          <w:p>
            <w:r>
              <w:rPr>
                <w:sz w:val="20"/>
              </w:rPr>
              <w:t>$15.1B</w:t>
            </w:r>
          </w:p>
        </w:tc>
      </w:tr>
      <w:tr>
        <w:tc>
          <w:tcPr>
            <w:tcW w:type="dxa" w:w="2160"/>
          </w:tcPr>
          <w:p>
            <w:r>
              <w:rPr>
                <w:b/>
                <w:sz w:val="20"/>
              </w:rPr>
              <w:t>FY2030E</w:t>
            </w:r>
          </w:p>
        </w:tc>
        <w:tc>
          <w:tcPr>
            <w:tcW w:type="dxa" w:w="2160"/>
          </w:tcPr>
          <w:p>
            <w:r>
              <w:rPr>
                <w:sz w:val="20"/>
              </w:rPr>
              <w:t>$23.7B</w:t>
            </w:r>
          </w:p>
        </w:tc>
        <w:tc>
          <w:tcPr>
            <w:tcW w:type="dxa" w:w="2160"/>
          </w:tcPr>
          <w:p>
            <w:r>
              <w:rPr>
                <w:sz w:val="20"/>
              </w:rPr>
              <w:t>0.681</w:t>
            </w:r>
          </w:p>
        </w:tc>
        <w:tc>
          <w:tcPr>
            <w:tcW w:type="dxa" w:w="2160"/>
          </w:tcPr>
          <w:p>
            <w:r>
              <w:rPr>
                <w:sz w:val="20"/>
              </w:rPr>
              <w:t>$16.2B</w:t>
            </w:r>
          </w:p>
        </w:tc>
      </w:tr>
      <w:tr>
        <w:tc>
          <w:tcPr>
            <w:tcW w:type="dxa" w:w="2160"/>
          </w:tcPr>
          <w:p>
            <w:r>
              <w:rPr>
                <w:b/>
                <w:sz w:val="20"/>
              </w:rPr>
              <w:t>Sum PV FCFs</w:t>
            </w:r>
          </w:p>
        </w:tc>
        <w:tc>
          <w:tcPr>
            <w:tcW w:type="dxa" w:w="2160"/>
          </w:tcPr>
          <w:p>
            <w:r>
              <w:rPr>
                <w:sz w:val="20"/>
              </w:rPr>
            </w:r>
          </w:p>
        </w:tc>
        <w:tc>
          <w:tcPr>
            <w:tcW w:type="dxa" w:w="2160"/>
          </w:tcPr>
          <w:p>
            <w:r>
              <w:rPr>
                <w:sz w:val="20"/>
              </w:rPr>
            </w:r>
          </w:p>
        </w:tc>
        <w:tc>
          <w:tcPr>
            <w:tcW w:type="dxa" w:w="2160"/>
          </w:tcPr>
          <w:p>
            <w:r>
              <w:rPr>
                <w:sz w:val="20"/>
              </w:rPr>
              <w:t>$71.5B</w:t>
            </w:r>
          </w:p>
        </w:tc>
      </w:tr>
      <w:tr>
        <w:tc>
          <w:tcPr>
            <w:tcW w:type="dxa" w:w="2160"/>
          </w:tcPr>
          <w:p>
            <w:r>
              <w:rPr>
                <w:b/>
                <w:sz w:val="20"/>
              </w:rPr>
              <w:t>Terminal Value (PV)</w:t>
            </w:r>
          </w:p>
        </w:tc>
        <w:tc>
          <w:tcPr>
            <w:tcW w:type="dxa" w:w="2160"/>
          </w:tcPr>
          <w:p>
            <w:r>
              <w:rPr>
                <w:sz w:val="20"/>
              </w:rPr>
              <w:t>2.5% growth</w:t>
            </w:r>
          </w:p>
        </w:tc>
        <w:tc>
          <w:tcPr>
            <w:tcW w:type="dxa" w:w="2160"/>
          </w:tcPr>
          <w:p>
            <w:r>
              <w:rPr>
                <w:sz w:val="20"/>
              </w:rPr>
            </w:r>
          </w:p>
        </w:tc>
        <w:tc>
          <w:tcPr>
            <w:tcW w:type="dxa" w:w="2160"/>
          </w:tcPr>
          <w:p>
            <w:r>
              <w:rPr>
                <w:sz w:val="20"/>
              </w:rPr>
              <w:t>$300.5B</w:t>
            </w:r>
          </w:p>
        </w:tc>
      </w:tr>
      <w:tr>
        <w:tc>
          <w:tcPr>
            <w:tcW w:type="dxa" w:w="2160"/>
          </w:tcPr>
          <w:p>
            <w:r>
              <w:rPr>
                <w:b/>
                <w:sz w:val="20"/>
              </w:rPr>
              <w:t>Enterprise Value (DCF)</w:t>
            </w:r>
          </w:p>
        </w:tc>
        <w:tc>
          <w:tcPr>
            <w:tcW w:type="dxa" w:w="2160"/>
          </w:tcPr>
          <w:p>
            <w:r>
              <w:rPr>
                <w:sz w:val="20"/>
              </w:rPr>
            </w:r>
          </w:p>
        </w:tc>
        <w:tc>
          <w:tcPr>
            <w:tcW w:type="dxa" w:w="2160"/>
          </w:tcPr>
          <w:p>
            <w:r>
              <w:rPr>
                <w:sz w:val="20"/>
              </w:rPr>
            </w:r>
          </w:p>
        </w:tc>
        <w:tc>
          <w:tcPr>
            <w:tcW w:type="dxa" w:w="2160"/>
          </w:tcPr>
          <w:p>
            <w:r>
              <w:rPr>
                <w:sz w:val="20"/>
              </w:rPr>
              <w:t>$372.0B</w:t>
            </w:r>
          </w:p>
        </w:tc>
      </w:tr>
    </w:tbl>
    <w:p/>
    <w:p>
      <w:pPr>
        <w:pStyle w:val="Heading1"/>
      </w:pPr>
      <w:r>
        <w:t>6. Valuation Summary</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b/>
                <w:sz w:val="20"/>
              </w:rPr>
              <w:t>Enterprise Value (DCF)</w:t>
            </w:r>
          </w:p>
        </w:tc>
        <w:tc>
          <w:tcPr>
            <w:tcW w:type="dxa" w:w="4320"/>
          </w:tcPr>
          <w:p>
            <w:r>
              <w:rPr>
                <w:sz w:val="20"/>
              </w:rPr>
              <w:t>$372.0B</w:t>
            </w:r>
          </w:p>
        </w:tc>
      </w:tr>
      <w:tr>
        <w:tc>
          <w:tcPr>
            <w:tcW w:type="dxa" w:w="4320"/>
          </w:tcPr>
          <w:p>
            <w:r>
              <w:rPr>
                <w:b/>
                <w:sz w:val="20"/>
              </w:rPr>
              <w:t>Less: Net Debt</w:t>
            </w:r>
          </w:p>
        </w:tc>
        <w:tc>
          <w:tcPr>
            <w:tcW w:type="dxa" w:w="4320"/>
          </w:tcPr>
          <w:p>
            <w:r>
              <w:rPr>
                <w:sz w:val="20"/>
              </w:rPr>
              <w:t>($84.7B)</w:t>
            </w:r>
          </w:p>
        </w:tc>
      </w:tr>
      <w:tr>
        <w:tc>
          <w:tcPr>
            <w:tcW w:type="dxa" w:w="4320"/>
          </w:tcPr>
          <w:p>
            <w:r>
              <w:rPr>
                <w:b/>
                <w:sz w:val="20"/>
              </w:rPr>
              <w:t>Equity Value</w:t>
            </w:r>
          </w:p>
        </w:tc>
        <w:tc>
          <w:tcPr>
            <w:tcW w:type="dxa" w:w="4320"/>
          </w:tcPr>
          <w:p>
            <w:r>
              <w:rPr>
                <w:sz w:val="20"/>
              </w:rPr>
              <w:t>$287.3B</w:t>
            </w:r>
          </w:p>
        </w:tc>
      </w:tr>
      <w:tr>
        <w:tc>
          <w:tcPr>
            <w:tcW w:type="dxa" w:w="4320"/>
          </w:tcPr>
          <w:p>
            <w:r>
              <w:rPr>
                <w:b/>
                <w:sz w:val="20"/>
              </w:rPr>
              <w:t>Shares Outstanding</w:t>
            </w:r>
          </w:p>
        </w:tc>
        <w:tc>
          <w:tcPr>
            <w:tcW w:type="dxa" w:w="4320"/>
          </w:tcPr>
          <w:p>
            <w:r>
              <w:rPr>
                <w:sz w:val="20"/>
              </w:rPr>
              <w:t>2.81B</w:t>
            </w:r>
          </w:p>
        </w:tc>
      </w:tr>
      <w:tr>
        <w:tc>
          <w:tcPr>
            <w:tcW w:type="dxa" w:w="4320"/>
          </w:tcPr>
          <w:p>
            <w:r>
              <w:rPr>
                <w:b/>
                <w:sz w:val="20"/>
              </w:rPr>
              <w:t>DCF Fair Value per Share</w:t>
            </w:r>
          </w:p>
        </w:tc>
        <w:tc>
          <w:tcPr>
            <w:tcW w:type="dxa" w:w="4320"/>
          </w:tcPr>
          <w:p>
            <w:r>
              <w:rPr>
                <w:sz w:val="20"/>
              </w:rPr>
              <w:t>$102.2</w:t>
            </w:r>
          </w:p>
        </w:tc>
      </w:tr>
      <w:tr>
        <w:tc>
          <w:tcPr>
            <w:tcW w:type="dxa" w:w="4320"/>
          </w:tcPr>
          <w:p>
            <w:r>
              <w:rPr>
                <w:b/>
                <w:sz w:val="20"/>
              </w:rPr>
              <w:t>Current Price</w:t>
            </w:r>
          </w:p>
        </w:tc>
        <w:tc>
          <w:tcPr>
            <w:tcW w:type="dxa" w:w="4320"/>
          </w:tcPr>
          <w:p>
            <w:r>
              <w:rPr>
                <w:sz w:val="20"/>
              </w:rPr>
              <w:t>$138.09</w:t>
            </w:r>
          </w:p>
        </w:tc>
      </w:tr>
      <w:tr>
        <w:tc>
          <w:tcPr>
            <w:tcW w:type="dxa" w:w="4320"/>
          </w:tcPr>
          <w:p>
            <w:r>
              <w:rPr>
                <w:b/>
                <w:sz w:val="20"/>
              </w:rPr>
              <w:t>Upside / (Downside)</w:t>
            </w:r>
          </w:p>
        </w:tc>
        <w:tc>
          <w:tcPr>
            <w:tcW w:type="dxa" w:w="4320"/>
          </w:tcPr>
          <w:p>
            <w:r>
              <w:rPr>
                <w:sz w:val="20"/>
              </w:rPr>
              <w:t>-26.0%</w:t>
            </w:r>
          </w:p>
        </w:tc>
      </w:tr>
      <w:tr>
        <w:tc>
          <w:tcPr>
            <w:tcW w:type="dxa" w:w="4320"/>
          </w:tcPr>
          <w:p>
            <w:r>
              <w:rPr>
                <w:b/>
                <w:sz w:val="20"/>
              </w:rPr>
              <w:t>VERDICT</w:t>
            </w:r>
          </w:p>
        </w:tc>
        <w:tc>
          <w:tcPr>
            <w:tcW w:type="dxa" w:w="4320"/>
          </w:tcPr>
          <w:p>
            <w:r>
              <w:rPr>
                <w:sz w:val="20"/>
              </w:rPr>
              <w:t>OVERVALUED</w:t>
            </w:r>
          </w:p>
        </w:tc>
      </w:tr>
      <w:tr>
        <w:tc>
          <w:tcPr>
            <w:tcW w:type="dxa" w:w="4320"/>
          </w:tcPr>
          <w:p>
            <w:r>
              <w:rPr>
                <w:b/>
                <w:sz w:val="20"/>
              </w:rPr>
              <w:t>Analyst Consensus Target</w:t>
            </w:r>
          </w:p>
        </w:tc>
        <w:tc>
          <w:tcPr>
            <w:tcW w:type="dxa" w:w="4320"/>
          </w:tcPr>
          <w:p>
            <w:r>
              <w:rPr>
                <w:sz w:val="20"/>
              </w:rPr>
              <w:t>$266.23 (35 analysts)</w:t>
            </w:r>
          </w:p>
        </w:tc>
      </w:tr>
    </w:tbl>
    <w:p/>
    <w:p>
      <w:pPr>
        <w:pStyle w:val="Heading1"/>
      </w:pPr>
      <w:r>
        <w:t>7. Sensitivity Analysis (Fair Value per Share, USD)</w:t>
      </w:r>
    </w:p>
    <w:p>
      <w:r>
        <w:t>Base FCF: $11.8B | 5-Year Growth: 15% | Net Debt: $84.7B | Shares: 2.81B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WACC \ Terminal Growth</w:t>
            </w:r>
          </w:p>
        </w:tc>
        <w:tc>
          <w:tcPr>
            <w:tcW w:type="dxa" w:w="2160"/>
          </w:tcPr>
          <w:p>
            <w:r>
              <w:rPr>
                <w:b/>
                <w:sz w:val="20"/>
              </w:rPr>
              <w:t>2.0%</w:t>
            </w:r>
          </w:p>
        </w:tc>
        <w:tc>
          <w:tcPr>
            <w:tcW w:type="dxa" w:w="2160"/>
          </w:tcPr>
          <w:p>
            <w:r>
              <w:rPr>
                <w:b/>
                <w:sz w:val="20"/>
              </w:rPr>
              <w:t>2.5%</w:t>
            </w:r>
          </w:p>
        </w:tc>
        <w:tc>
          <w:tcPr>
            <w:tcW w:type="dxa" w:w="2160"/>
          </w:tcPr>
          <w:p>
            <w:r>
              <w:rPr>
                <w:b/>
                <w:sz w:val="20"/>
              </w:rPr>
              <w:t>3.0%</w:t>
            </w:r>
          </w:p>
        </w:tc>
      </w:tr>
      <w:tr>
        <w:tc>
          <w:tcPr>
            <w:tcW w:type="dxa" w:w="2160"/>
          </w:tcPr>
          <w:p>
            <w:r>
              <w:rPr>
                <w:b/>
                <w:sz w:val="20"/>
              </w:rPr>
              <w:t>7.0%</w:t>
            </w:r>
          </w:p>
        </w:tc>
        <w:tc>
          <w:tcPr>
            <w:tcW w:type="dxa" w:w="2160"/>
          </w:tcPr>
          <w:p>
            <w:r>
              <w:rPr>
                <w:sz w:val="20"/>
              </w:rPr>
              <w:t>$119</w:t>
            </w:r>
          </w:p>
        </w:tc>
        <w:tc>
          <w:tcPr>
            <w:tcW w:type="dxa" w:w="2160"/>
          </w:tcPr>
          <w:p>
            <w:r>
              <w:rPr>
                <w:sz w:val="20"/>
              </w:rPr>
              <w:t>$133</w:t>
            </w:r>
          </w:p>
        </w:tc>
        <w:tc>
          <w:tcPr>
            <w:tcW w:type="dxa" w:w="2160"/>
          </w:tcPr>
          <w:p>
            <w:r>
              <w:rPr>
                <w:sz w:val="20"/>
              </w:rPr>
              <w:t>$151</w:t>
            </w:r>
          </w:p>
        </w:tc>
      </w:tr>
      <w:tr>
        <w:tc>
          <w:tcPr>
            <w:tcW w:type="dxa" w:w="2160"/>
          </w:tcPr>
          <w:p>
            <w:r>
              <w:rPr>
                <w:b/>
                <w:sz w:val="20"/>
              </w:rPr>
              <w:t>8.0% (Base)</w:t>
            </w:r>
          </w:p>
        </w:tc>
        <w:tc>
          <w:tcPr>
            <w:tcW w:type="dxa" w:w="2160"/>
          </w:tcPr>
          <w:p>
            <w:r>
              <w:rPr>
                <w:sz w:val="20"/>
              </w:rPr>
              <w:t>$93</w:t>
            </w:r>
          </w:p>
        </w:tc>
        <w:tc>
          <w:tcPr>
            <w:tcW w:type="dxa" w:w="2160"/>
          </w:tcPr>
          <w:p>
            <w:r>
              <w:rPr>
                <w:sz w:val="20"/>
              </w:rPr>
              <w:t>$103</w:t>
            </w:r>
          </w:p>
        </w:tc>
        <w:tc>
          <w:tcPr>
            <w:tcW w:type="dxa" w:w="2160"/>
          </w:tcPr>
          <w:p>
            <w:r>
              <w:rPr>
                <w:sz w:val="20"/>
              </w:rPr>
              <w:t>$114</w:t>
            </w:r>
          </w:p>
        </w:tc>
      </w:tr>
      <w:tr>
        <w:tc>
          <w:tcPr>
            <w:tcW w:type="dxa" w:w="2160"/>
          </w:tcPr>
          <w:p>
            <w:r>
              <w:rPr>
                <w:b/>
                <w:sz w:val="20"/>
              </w:rPr>
              <w:t>9.0%</w:t>
            </w:r>
          </w:p>
        </w:tc>
        <w:tc>
          <w:tcPr>
            <w:tcW w:type="dxa" w:w="2160"/>
          </w:tcPr>
          <w:p>
            <w:r>
              <w:rPr>
                <w:sz w:val="20"/>
              </w:rPr>
              <w:t>$75</w:t>
            </w:r>
          </w:p>
        </w:tc>
        <w:tc>
          <w:tcPr>
            <w:tcW w:type="dxa" w:w="2160"/>
          </w:tcPr>
          <w:p>
            <w:r>
              <w:rPr>
                <w:sz w:val="20"/>
              </w:rPr>
              <w:t>$81</w:t>
            </w:r>
          </w:p>
        </w:tc>
        <w:tc>
          <w:tcPr>
            <w:tcW w:type="dxa" w:w="2160"/>
          </w:tcPr>
          <w:p>
            <w:r>
              <w:rPr>
                <w:sz w:val="20"/>
              </w:rPr>
              <w:t>$89</w:t>
            </w:r>
          </w:p>
        </w:tc>
      </w:tr>
    </w:tbl>
    <w:p/>
    <w:p>
      <w:pPr>
        <w:pStyle w:val="Heading1"/>
      </w:pPr>
      <w:r>
        <w:t>8. Bull Case / Bear Case</w:t>
      </w:r>
    </w:p>
    <w:p>
      <w:r>
        <w:rPr>
          <w:b/>
        </w:rPr>
        <w:t xml:space="preserve">Bull Case - Target ~$169: </w:t>
      </w:r>
      <w:r>
        <w:t>Cloud revenue hits $90B in FY2027; FCF margins recover to 25%+; AI infrastructure investments generate outsized OCI revenues; WACC compresses to 7%.</w:t>
      </w:r>
    </w:p>
    <w:p>
      <w:r>
        <w:rPr>
          <w:b/>
        </w:rPr>
        <w:t xml:space="preserve">Bear Case - Target ~$75: </w:t>
      </w:r>
      <w:r>
        <w:t>Capex remains elevated beyond FY2027; FCF recovery slower than expected; AWS/Azure/GCP crowd out OCI; rising rates keep WACC at 9%+; $95B debt becomes a burden.</w:t>
      </w:r>
    </w:p>
    <w:p>
      <w:pPr>
        <w:pStyle w:val="Heading1"/>
      </w:pPr>
      <w:r>
        <w:t>9. Key Risks</w:t>
      </w:r>
    </w:p>
    <w:p>
      <w:pPr>
        <w:pStyle w:val="ListBullet"/>
      </w:pPr>
      <w:r>
        <w:t>Execution risk on AI infrastructure: $30B+ raised for datacenter buildout must generate returns</w:t>
      </w:r>
    </w:p>
    <w:p>
      <w:pPr>
        <w:pStyle w:val="ListBullet"/>
      </w:pPr>
      <w:r>
        <w:t>Balance sheet leverage: $95.5B total debt, debt-to-equity ratio of 344%</w:t>
      </w:r>
    </w:p>
    <w:p>
      <w:pPr>
        <w:pStyle w:val="ListBullet"/>
      </w:pPr>
      <w:r>
        <w:t>Hyperscaler competition: AWS, Azure, GCP have entrenched enterprise relationships</w:t>
      </w:r>
    </w:p>
    <w:p>
      <w:pPr>
        <w:pStyle w:val="ListBullet"/>
      </w:pPr>
      <w:r>
        <w:t>FCF recovery timeline: If capex stays elevated beyond FY2028, bear case materialises</w:t>
      </w:r>
    </w:p>
    <w:p>
      <w:pPr>
        <w:pStyle w:val="ListBullet"/>
      </w:pPr>
      <w:r>
        <w:t>Valuation gap: 35-analyst consensus of $266 vs. FCF-based DCF of ~$103 reflects speculative premium</w:t>
      </w:r>
    </w:p>
    <w:p>
      <w:pPr>
        <w:pStyle w:val="Heading1"/>
      </w:pPr>
      <w:r>
        <w:t>10. Conclusion</w:t>
      </w:r>
    </w:p>
    <w:p>
      <w:r>
        <w:t>On a traditional FCF-based DCF, Oracle appears overvalued at $138.09, with a base-case fair value of ~$102/share (-26% downside). The stock trades at a ~35% premium to fundamental DCF value, pricing in a substantial AI-monetisation option that may take 3-5 years to materialise in cash flows. To justify current prices, Oracle needs near-perfect execution on its hyperscale AI cloud ambitions. Investors buying today are paying for optionality, not current earnings power.</w:t>
      </w:r>
    </w:p>
    <w:p/>
    <w:p>
      <w:r>
        <w:rPr>
          <w:i/>
          <w:sz w:val="18"/>
        </w:rPr>
        <w:t>Disclaimer: This research is generated by PrudentSigma for informational purposes only. It does not constitute investment advice. All projections are estimates based on publicly available data. Past performance is not indicative of future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