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376C"/>
          <w:sz w:val="40"/>
        </w:rPr>
        <w:t>Alibaba Group Holding Limited (BABA)</w:t>
      </w:r>
    </w:p>
    <w:p>
      <w:pPr>
        <w:spacing w:after="40"/>
        <w:jc w:val="center"/>
      </w:pPr>
      <w:r>
        <w:rPr>
          <w:i/>
          <w:color w:val="555555"/>
          <w:sz w:val="23"/>
        </w:rPr>
        <w:t>Combined Deep Research  ·  Value Investing Evaluation  ·  Trading Ideas</w:t>
      </w:r>
    </w:p>
    <w:p>
      <w:pPr>
        <w:spacing w:after="280"/>
        <w:jc w:val="center"/>
      </w:pPr>
      <w:r>
        <w:rPr>
          <w:i/>
          <w:color w:val="999999"/>
          <w:sz w:val="18"/>
        </w:rPr>
        <w:t>Generated: April 04, 2026   |   Exchange: NYSE (ADR)   |   Sector: China Tech / E-Commerce / Cloud AI</w:t>
      </w:r>
    </w:p>
    <w:p>
      <w:pPr>
        <w:spacing w:before="320" w:after="80"/>
        <w:pBdr>
          <w:bottom w:val="single" w:sz="6" w:space="1" w:color="1A376C"/>
        </w:pBdr>
      </w:pPr>
      <w:r>
        <w:rPr>
          <w:b/>
          <w:color w:val="1A376C"/>
          <w:sz w:val="23"/>
        </w:rPr>
        <w:t>0. DATA TIMELINESS CONFIRMATION</w:t>
      </w:r>
      <w:r>
        <w:rPr>
          <w:i/>
          <w:color w:val="555555"/>
          <w:sz w:val="18"/>
        </w:rPr>
        <w:t xml:space="preserve">  [Value Investing Rule 1]</w:t>
      </w:r>
    </w:p>
    <w:tbl>
      <w:tblPr>
        <w:tblStyle w:val="TableGrid"/>
        <w:tblW w:type="auto" w:w="0"/>
        <w:jc w:val="center"/>
        <w:tblLook w:firstColumn="1" w:firstRow="1" w:lastColumn="0" w:lastRow="0" w:noHBand="0" w:noVBand="1" w:val="04A0"/>
      </w:tblPr>
      <w:tblGrid>
        <w:gridCol w:w="4536"/>
        <w:gridCol w:w="4536"/>
      </w:tblGrid>
      <w:tr>
        <w:tc>
          <w:tcPr>
            <w:tcW w:type="dxa" w:w="4032"/>
            <w:shd w:val="clear" w:color="auto" w:fill="1A376C"/>
          </w:tcPr>
          <w:p>
            <w:r>
              <w:rPr>
                <w:b/>
                <w:color w:val="FFFFFF"/>
                <w:sz w:val="19"/>
              </w:rPr>
              <w:t>Field</w:t>
            </w:r>
          </w:p>
        </w:tc>
        <w:tc>
          <w:tcPr>
            <w:tcW w:type="dxa" w:w="5760"/>
            <w:shd w:val="clear" w:color="auto" w:fill="1A376C"/>
          </w:tcPr>
          <w:p>
            <w:r>
              <w:rPr>
                <w:b/>
                <w:color w:val="FFFFFF"/>
                <w:sz w:val="19"/>
              </w:rPr>
              <w:t>Value</w:t>
            </w:r>
          </w:p>
        </w:tc>
      </w:tr>
      <w:tr>
        <w:tc>
          <w:tcPr>
            <w:tcW w:type="dxa" w:w="4032"/>
            <w:shd w:val="clear" w:color="auto" w:fill="F4F6FB"/>
          </w:tcPr>
          <w:p>
            <w:r>
              <w:rPr>
                <w:sz w:val="19"/>
              </w:rPr>
              <w:t>Analysis Date</w:t>
            </w:r>
          </w:p>
        </w:tc>
        <w:tc>
          <w:tcPr>
            <w:tcW w:type="dxa" w:w="5760"/>
            <w:shd w:val="clear" w:color="auto" w:fill="F4F6FB"/>
          </w:tcPr>
          <w:p>
            <w:r>
              <w:rPr>
                <w:sz w:val="19"/>
              </w:rPr>
              <w:t>April 4, 2026</w:t>
            </w:r>
          </w:p>
        </w:tc>
      </w:tr>
      <w:tr>
        <w:tc>
          <w:tcPr>
            <w:tcW w:type="dxa" w:w="4032"/>
            <w:shd w:val="clear" w:color="auto" w:fill="FFFFFF"/>
          </w:tcPr>
          <w:p>
            <w:r>
              <w:rPr>
                <w:sz w:val="19"/>
              </w:rPr>
              <w:t>Latest Available Annual Report</w:t>
            </w:r>
          </w:p>
        </w:tc>
        <w:tc>
          <w:tcPr>
            <w:tcW w:type="dxa" w:w="5760"/>
            <w:shd w:val="clear" w:color="auto" w:fill="FFFFFF"/>
          </w:tcPr>
          <w:p>
            <w:r>
              <w:rPr>
                <w:sz w:val="19"/>
              </w:rPr>
              <w:t>FY2025 (fiscal year ended March 31, 2025; published May 15, 2025)</w:t>
            </w:r>
          </w:p>
        </w:tc>
      </w:tr>
      <w:tr>
        <w:tc>
          <w:tcPr>
            <w:tcW w:type="dxa" w:w="4032"/>
            <w:shd w:val="clear" w:color="auto" w:fill="F4F6FB"/>
          </w:tcPr>
          <w:p>
            <w:r>
              <w:rPr>
                <w:sz w:val="19"/>
              </w:rPr>
              <w:t>Most Recent Quarterly Data</w:t>
            </w:r>
          </w:p>
        </w:tc>
        <w:tc>
          <w:tcPr>
            <w:tcW w:type="dxa" w:w="5760"/>
            <w:shd w:val="clear" w:color="auto" w:fill="F4F6FB"/>
          </w:tcPr>
          <w:p>
            <w:r>
              <w:rPr>
                <w:sz w:val="19"/>
              </w:rPr>
              <w:t>Q3 FY2026 (Oct–Dec 2025 quarter; reported ~Feb 2026)</w:t>
            </w:r>
          </w:p>
        </w:tc>
      </w:tr>
      <w:tr>
        <w:tc>
          <w:tcPr>
            <w:tcW w:type="dxa" w:w="4032"/>
            <w:shd w:val="clear" w:color="auto" w:fill="FFFFFF"/>
          </w:tcPr>
          <w:p>
            <w:r>
              <w:rPr>
                <w:sz w:val="19"/>
              </w:rPr>
              <w:t>Is This the Latest Annual Report?</w:t>
            </w:r>
          </w:p>
        </w:tc>
        <w:tc>
          <w:tcPr>
            <w:tcW w:type="dxa" w:w="5760"/>
            <w:shd w:val="clear" w:color="auto" w:fill="FFFFFF"/>
          </w:tcPr>
          <w:p>
            <w:r>
              <w:rPr>
                <w:sz w:val="19"/>
              </w:rPr>
              <w:t>YES — FY2026 annual (ending March 31, 2026) not yet released</w:t>
            </w:r>
          </w:p>
        </w:tc>
      </w:tr>
      <w:tr>
        <w:tc>
          <w:tcPr>
            <w:tcW w:type="dxa" w:w="4032"/>
            <w:shd w:val="clear" w:color="auto" w:fill="F4F6FB"/>
          </w:tcPr>
          <w:p>
            <w:r>
              <w:rPr>
                <w:sz w:val="19"/>
              </w:rPr>
              <w:t>Key Caveat</w:t>
            </w:r>
          </w:p>
        </w:tc>
        <w:tc>
          <w:tcPr>
            <w:tcW w:type="dxa" w:w="5760"/>
            <w:shd w:val="clear" w:color="auto" w:fill="F4F6FB"/>
          </w:tcPr>
          <w:p>
            <w:r>
              <w:rPr>
                <w:sz w:val="19"/>
              </w:rPr>
              <w:t>CapEx has surged sharply in Q3 FY2026; FY2026 FCF will differ materially from FY2025</w:t>
            </w:r>
          </w:p>
        </w:tc>
      </w:tr>
      <w:tr>
        <w:tc>
          <w:tcPr>
            <w:tcW w:type="dxa" w:w="4032"/>
            <w:shd w:val="clear" w:color="auto" w:fill="FFFFFF"/>
          </w:tcPr>
          <w:p>
            <w:r>
              <w:rPr>
                <w:sz w:val="19"/>
              </w:rPr>
              <w:t>Data Reliability</w:t>
            </w:r>
          </w:p>
        </w:tc>
        <w:tc>
          <w:tcPr>
            <w:tcW w:type="dxa" w:w="5760"/>
            <w:shd w:val="clear" w:color="auto" w:fill="FFFFFF"/>
          </w:tcPr>
          <w:p>
            <w:r>
              <w:rPr>
                <w:sz w:val="19"/>
              </w:rPr>
              <w:t>Medium-High — annual confirmed; Q3 trend data requires FY2026 full-year confirmation</w:t>
            </w:r>
          </w:p>
        </w:tc>
      </w:tr>
    </w:tbl>
    <w:p>
      <w:pPr>
        <w:spacing w:before="80" w:after="100"/>
      </w:pPr>
      <w:r>
        <w:rPr>
          <w:b w:val="0"/>
          <w:i w:val="0"/>
          <w:color w:val="D97706"/>
          <w:sz w:val="20"/>
        </w:rPr>
        <w:t>⚠ FY2026 FCF WARNING: Q3 FY2026 CapEx reached RMB 31.5B in a single quarter (~$4.4B), driven by Alibaba's $53B AI/cloud investment commitment. Full-year FY2026 FCF will be significantly lower than FY2025's $22.87B. All DCF projections incorporate this CapEx cycle explicitly.</w:t>
      </w:r>
    </w:p>
    <w:p>
      <w:pPr>
        <w:spacing w:before="320" w:after="80"/>
        <w:pBdr>
          <w:bottom w:val="single" w:sz="6" w:space="1" w:color="1A376C"/>
        </w:pBdr>
      </w:pPr>
      <w:r>
        <w:rPr>
          <w:b/>
          <w:color w:val="1A376C"/>
          <w:sz w:val="23"/>
        </w:rPr>
        <w:t>1. EXECUTIVE SUMMARY</w:t>
      </w:r>
      <w:r>
        <w:rPr>
          <w:i/>
          <w:color w:val="555555"/>
          <w:sz w:val="18"/>
        </w:rPr>
        <w:t xml:space="preserve">  [Trading Ideas]</w:t>
      </w:r>
    </w:p>
    <w:p>
      <w:pPr>
        <w:spacing w:before="80" w:after="80"/>
      </w:pPr>
      <w:r>
        <w:rPr>
          <w:b/>
          <w:color w:val="D97706"/>
          <w:sz w:val="26"/>
        </w:rPr>
        <w:t>TACTICAL BUY AT THRESHOLD</w:t>
      </w:r>
      <w:r>
        <w:rPr>
          <w:sz w:val="22"/>
        </w:rPr>
        <w:t xml:space="preserve"> — 12-month base-case target $155–$175 (+27–43% from $122.05) | Conviction: MEDIUM-HIGH</w:t>
      </w:r>
    </w:p>
    <w:p>
      <w:pPr>
        <w:spacing w:before="0" w:after="100"/>
      </w:pPr>
      <w:r>
        <w:rPr>
          <w:b w:val="0"/>
          <w:i w:val="0"/>
          <w:sz w:val="21"/>
        </w:rPr>
        <w:t>Alibaba trades at $122.05/ADS — exactly at the Graham 30% margin-of-safety buy threshold against a base-case intrinsic value of ~$174/ADS. The market has aggressively de-rated the stock (-37% from 52-week high of $192.67) on three compounding fears: massive AI/cloud CapEx ($53B over 3 years) depressing near-term FCF, escalating US-China trade tensions and delisting risk, and e-commerce market share pressure from PDD/ByteDance. Against these, the bull case is powerful: Alibaba Cloud growing 34% YoY with AI workloads at triple-digit growth, $49B net cash fortress, $19.3B buyback remaining, and the Qwen AI model family establishing Alibaba as China's premier AI infrastructure platform. The risk is real and structural — this is NOT a low-risk, high-margin-of-safety setup like a deeply undervalued US blue chip. It requires China risk tolerance. For investors who have it, the risk-reward at $122 is compelling.</w:t>
      </w:r>
    </w:p>
    <w:p>
      <w:pPr>
        <w:spacing w:before="320" w:after="80"/>
        <w:pBdr>
          <w:bottom w:val="single" w:sz="6" w:space="1" w:color="1A376C"/>
        </w:pBdr>
      </w:pPr>
      <w:r>
        <w:rPr>
          <w:b/>
          <w:color w:val="1A376C"/>
          <w:sz w:val="23"/>
        </w:rPr>
        <w:t>2. MARKET SNAPSHOT (APRIL 4, 2026)</w:t>
      </w:r>
      <w:r>
        <w:rPr>
          <w:i/>
          <w:color w:val="555555"/>
          <w:sz w:val="18"/>
        </w:rPr>
        <w:t xml:space="preserve">  [Deep Research]</w:t>
      </w:r>
    </w:p>
    <w:tbl>
      <w:tblPr>
        <w:tblStyle w:val="TableGrid"/>
        <w:tblW w:type="auto" w:w="0"/>
        <w:jc w:val="center"/>
        <w:tblLook w:firstColumn="1" w:firstRow="1" w:lastColumn="0" w:lastRow="0" w:noHBand="0" w:noVBand="1" w:val="04A0"/>
      </w:tblPr>
      <w:tblGrid>
        <w:gridCol w:w="4536"/>
        <w:gridCol w:w="4536"/>
      </w:tblGrid>
      <w:tr>
        <w:tc>
          <w:tcPr>
            <w:tcW w:type="dxa" w:w="4032"/>
            <w:shd w:val="clear" w:color="auto" w:fill="1A376C"/>
          </w:tcPr>
          <w:p>
            <w:r>
              <w:rPr>
                <w:b/>
                <w:color w:val="FFFFFF"/>
                <w:sz w:val="19"/>
              </w:rPr>
              <w:t>Metric</w:t>
            </w:r>
          </w:p>
        </w:tc>
        <w:tc>
          <w:tcPr>
            <w:tcW w:type="dxa" w:w="5472"/>
            <w:shd w:val="clear" w:color="auto" w:fill="1A376C"/>
          </w:tcPr>
          <w:p>
            <w:r>
              <w:rPr>
                <w:b/>
                <w:color w:val="FFFFFF"/>
                <w:sz w:val="19"/>
              </w:rPr>
              <w:t>Value</w:t>
            </w:r>
          </w:p>
        </w:tc>
      </w:tr>
      <w:tr>
        <w:tc>
          <w:tcPr>
            <w:tcW w:type="dxa" w:w="4032"/>
            <w:shd w:val="clear" w:color="auto" w:fill="F4F6FB"/>
          </w:tcPr>
          <w:p>
            <w:r>
              <w:rPr>
                <w:sz w:val="19"/>
              </w:rPr>
              <w:t>Current Price (ADR)</w:t>
            </w:r>
          </w:p>
        </w:tc>
        <w:tc>
          <w:tcPr>
            <w:tcW w:type="dxa" w:w="5472"/>
            <w:shd w:val="clear" w:color="auto" w:fill="F4F6FB"/>
          </w:tcPr>
          <w:p>
            <w:r>
              <w:rPr>
                <w:sz w:val="19"/>
              </w:rPr>
              <w:t>$122.05</w:t>
            </w:r>
          </w:p>
        </w:tc>
      </w:tr>
      <w:tr>
        <w:tc>
          <w:tcPr>
            <w:tcW w:type="dxa" w:w="4032"/>
            <w:shd w:val="clear" w:color="auto" w:fill="FFFFFF"/>
          </w:tcPr>
          <w:p>
            <w:r>
              <w:rPr>
                <w:sz w:val="19"/>
              </w:rPr>
              <w:t>Market Capitalization</w:t>
            </w:r>
          </w:p>
        </w:tc>
        <w:tc>
          <w:tcPr>
            <w:tcW w:type="dxa" w:w="5472"/>
            <w:shd w:val="clear" w:color="auto" w:fill="FFFFFF"/>
          </w:tcPr>
          <w:p>
            <w:r>
              <w:rPr>
                <w:sz w:val="19"/>
              </w:rPr>
              <w:t>~$297B</w:t>
            </w:r>
          </w:p>
        </w:tc>
      </w:tr>
      <w:tr>
        <w:tc>
          <w:tcPr>
            <w:tcW w:type="dxa" w:w="4032"/>
            <w:shd w:val="clear" w:color="auto" w:fill="F4F6FB"/>
          </w:tcPr>
          <w:p>
            <w:r>
              <w:rPr>
                <w:sz w:val="19"/>
              </w:rPr>
              <w:t>ADSs Outstanding</w:t>
            </w:r>
          </w:p>
        </w:tc>
        <w:tc>
          <w:tcPr>
            <w:tcW w:type="dxa" w:w="5472"/>
            <w:shd w:val="clear" w:color="auto" w:fill="F4F6FB"/>
          </w:tcPr>
          <w:p>
            <w:r>
              <w:rPr>
                <w:sz w:val="19"/>
              </w:rPr>
              <w:t>~2.43B  (1 ADS = 8 ordinary shares)</w:t>
            </w:r>
          </w:p>
        </w:tc>
      </w:tr>
      <w:tr>
        <w:tc>
          <w:tcPr>
            <w:tcW w:type="dxa" w:w="4032"/>
            <w:shd w:val="clear" w:color="auto" w:fill="FFFFFF"/>
          </w:tcPr>
          <w:p>
            <w:r>
              <w:rPr>
                <w:sz w:val="19"/>
              </w:rPr>
              <w:t>52-Week Range</w:t>
            </w:r>
          </w:p>
        </w:tc>
        <w:tc>
          <w:tcPr>
            <w:tcW w:type="dxa" w:w="5472"/>
            <w:shd w:val="clear" w:color="auto" w:fill="FFFFFF"/>
          </w:tcPr>
          <w:p>
            <w:r>
              <w:rPr>
                <w:sz w:val="19"/>
              </w:rPr>
              <w:t>$95.73 – $192.67</w:t>
            </w:r>
          </w:p>
        </w:tc>
      </w:tr>
      <w:tr>
        <w:tc>
          <w:tcPr>
            <w:tcW w:type="dxa" w:w="4032"/>
            <w:shd w:val="clear" w:color="auto" w:fill="F4F6FB"/>
          </w:tcPr>
          <w:p>
            <w:r>
              <w:rPr>
                <w:sz w:val="19"/>
              </w:rPr>
              <w:t>Distance from 52-Wk High</w:t>
            </w:r>
          </w:p>
        </w:tc>
        <w:tc>
          <w:tcPr>
            <w:tcW w:type="dxa" w:w="5472"/>
            <w:shd w:val="clear" w:color="auto" w:fill="F4F6FB"/>
          </w:tcPr>
          <w:p>
            <w:r>
              <w:rPr>
                <w:sz w:val="19"/>
              </w:rPr>
              <w:t>-36.7%</w:t>
            </w:r>
          </w:p>
        </w:tc>
      </w:tr>
      <w:tr>
        <w:tc>
          <w:tcPr>
            <w:tcW w:type="dxa" w:w="4032"/>
            <w:shd w:val="clear" w:color="auto" w:fill="FFFFFF"/>
          </w:tcPr>
          <w:p>
            <w:r>
              <w:rPr>
                <w:sz w:val="19"/>
              </w:rPr>
              <w:t>Distance from 52-Wk Low</w:t>
            </w:r>
          </w:p>
        </w:tc>
        <w:tc>
          <w:tcPr>
            <w:tcW w:type="dxa" w:w="5472"/>
            <w:shd w:val="clear" w:color="auto" w:fill="FFFFFF"/>
          </w:tcPr>
          <w:p>
            <w:r>
              <w:rPr>
                <w:sz w:val="19"/>
              </w:rPr>
              <w:t>+27.5%</w:t>
            </w:r>
          </w:p>
        </w:tc>
      </w:tr>
      <w:tr>
        <w:tc>
          <w:tcPr>
            <w:tcW w:type="dxa" w:w="4032"/>
            <w:shd w:val="clear" w:color="auto" w:fill="F4F6FB"/>
          </w:tcPr>
          <w:p>
            <w:r>
              <w:rPr>
                <w:sz w:val="19"/>
              </w:rPr>
              <w:t>Trailing P/E</w:t>
            </w:r>
          </w:p>
        </w:tc>
        <w:tc>
          <w:tcPr>
            <w:tcW w:type="dxa" w:w="5472"/>
            <w:shd w:val="clear" w:color="auto" w:fill="F4F6FB"/>
          </w:tcPr>
          <w:p>
            <w:r>
              <w:rPr>
                <w:sz w:val="19"/>
              </w:rPr>
              <w:t>23.35x (on GAAP)</w:t>
            </w:r>
          </w:p>
        </w:tc>
      </w:tr>
      <w:tr>
        <w:tc>
          <w:tcPr>
            <w:tcW w:type="dxa" w:w="4032"/>
            <w:shd w:val="clear" w:color="auto" w:fill="FFFFFF"/>
          </w:tcPr>
          <w:p>
            <w:r>
              <w:rPr>
                <w:sz w:val="19"/>
              </w:rPr>
              <w:t>FCF Yield (FY2025 FCF)</w:t>
            </w:r>
          </w:p>
        </w:tc>
        <w:tc>
          <w:tcPr>
            <w:tcW w:type="dxa" w:w="5472"/>
            <w:shd w:val="clear" w:color="auto" w:fill="FFFFFF"/>
          </w:tcPr>
          <w:p>
            <w:r>
              <w:rPr>
                <w:sz w:val="19"/>
              </w:rPr>
              <w:t>~7.7%  ($22.87B / $297B)</w:t>
            </w:r>
          </w:p>
        </w:tc>
      </w:tr>
      <w:tr>
        <w:tc>
          <w:tcPr>
            <w:tcW w:type="dxa" w:w="4032"/>
            <w:shd w:val="clear" w:color="auto" w:fill="F4F6FB"/>
          </w:tcPr>
          <w:p>
            <w:r>
              <w:rPr>
                <w:sz w:val="19"/>
              </w:rPr>
              <w:t>Net Cash Position</w:t>
            </w:r>
          </w:p>
        </w:tc>
        <w:tc>
          <w:tcPr>
            <w:tcW w:type="dxa" w:w="5472"/>
            <w:shd w:val="clear" w:color="auto" w:fill="F4F6FB"/>
          </w:tcPr>
          <w:p>
            <w:r>
              <w:rPr>
                <w:sz w:val="19"/>
              </w:rPr>
              <w:t>~$49B</w:t>
            </w:r>
          </w:p>
        </w:tc>
      </w:tr>
      <w:tr>
        <w:tc>
          <w:tcPr>
            <w:tcW w:type="dxa" w:w="4032"/>
            <w:shd w:val="clear" w:color="auto" w:fill="FFFFFF"/>
          </w:tcPr>
          <w:p>
            <w:r>
              <w:rPr>
                <w:sz w:val="19"/>
              </w:rPr>
              <w:t>Net Cash Per ADS</w:t>
            </w:r>
          </w:p>
        </w:tc>
        <w:tc>
          <w:tcPr>
            <w:tcW w:type="dxa" w:w="5472"/>
            <w:shd w:val="clear" w:color="auto" w:fill="FFFFFF"/>
          </w:tcPr>
          <w:p>
            <w:r>
              <w:rPr>
                <w:sz w:val="19"/>
              </w:rPr>
              <w:t>~$20.2/ADS</w:t>
            </w:r>
          </w:p>
        </w:tc>
      </w:tr>
      <w:tr>
        <w:tc>
          <w:tcPr>
            <w:tcW w:type="dxa" w:w="4032"/>
            <w:shd w:val="clear" w:color="auto" w:fill="F4F6FB"/>
          </w:tcPr>
          <w:p>
            <w:r>
              <w:rPr>
                <w:sz w:val="19"/>
              </w:rPr>
              <w:t>EV (Market Cap – Net Cash)</w:t>
            </w:r>
          </w:p>
        </w:tc>
        <w:tc>
          <w:tcPr>
            <w:tcW w:type="dxa" w:w="5472"/>
            <w:shd w:val="clear" w:color="auto" w:fill="F4F6FB"/>
          </w:tcPr>
          <w:p>
            <w:r>
              <w:rPr>
                <w:sz w:val="19"/>
              </w:rPr>
              <w:t>~$248B</w:t>
            </w:r>
          </w:p>
        </w:tc>
      </w:tr>
      <w:tr>
        <w:tc>
          <w:tcPr>
            <w:tcW w:type="dxa" w:w="4032"/>
            <w:shd w:val="clear" w:color="auto" w:fill="FFFFFF"/>
          </w:tcPr>
          <w:p>
            <w:r>
              <w:rPr>
                <w:sz w:val="19"/>
              </w:rPr>
              <w:t>Revenue Growth (FY2025)</w:t>
            </w:r>
          </w:p>
        </w:tc>
        <w:tc>
          <w:tcPr>
            <w:tcW w:type="dxa" w:w="5472"/>
            <w:shd w:val="clear" w:color="auto" w:fill="FFFFFF"/>
          </w:tcPr>
          <w:p>
            <w:r>
              <w:rPr>
                <w:sz w:val="19"/>
              </w:rPr>
              <w:t>5.3% YoY (cloud accelerating to 34%)</w:t>
            </w:r>
          </w:p>
        </w:tc>
      </w:tr>
      <w:tr>
        <w:tc>
          <w:tcPr>
            <w:tcW w:type="dxa" w:w="4032"/>
            <w:shd w:val="clear" w:color="auto" w:fill="F4F6FB"/>
          </w:tcPr>
          <w:p>
            <w:r>
              <w:rPr>
                <w:sz w:val="19"/>
              </w:rPr>
              <w:t>Analyst Consensus</w:t>
            </w:r>
          </w:p>
        </w:tc>
        <w:tc>
          <w:tcPr>
            <w:tcW w:type="dxa" w:w="5472"/>
            <w:shd w:val="clear" w:color="auto" w:fill="F4F6FB"/>
          </w:tcPr>
          <w:p>
            <w:r>
              <w:rPr>
                <w:sz w:val="19"/>
              </w:rPr>
              <w:t>STRONG BUY — 16 Buy / 2 Hold / 0 Sell</w:t>
            </w:r>
          </w:p>
        </w:tc>
      </w:tr>
      <w:tr>
        <w:tc>
          <w:tcPr>
            <w:tcW w:type="dxa" w:w="4032"/>
            <w:shd w:val="clear" w:color="auto" w:fill="FFFFFF"/>
          </w:tcPr>
          <w:p>
            <w:r>
              <w:rPr>
                <w:sz w:val="19"/>
              </w:rPr>
              <w:t>Average Analyst Price Target</w:t>
            </w:r>
          </w:p>
        </w:tc>
        <w:tc>
          <w:tcPr>
            <w:tcW w:type="dxa" w:w="5472"/>
            <w:shd w:val="clear" w:color="auto" w:fill="FFFFFF"/>
          </w:tcPr>
          <w:p>
            <w:r>
              <w:rPr>
                <w:sz w:val="19"/>
              </w:rPr>
              <w:t>$185–$187  (range: $135–$225)</w:t>
            </w:r>
          </w:p>
        </w:tc>
      </w:tr>
      <w:tr>
        <w:tc>
          <w:tcPr>
            <w:tcW w:type="dxa" w:w="4032"/>
            <w:shd w:val="clear" w:color="auto" w:fill="F4F6FB"/>
          </w:tcPr>
          <w:p>
            <w:r>
              <w:rPr>
                <w:sz w:val="19"/>
              </w:rPr>
              <w:t>Highest PT (J.P. Morgan)</w:t>
            </w:r>
          </w:p>
        </w:tc>
        <w:tc>
          <w:tcPr>
            <w:tcW w:type="dxa" w:w="5472"/>
            <w:shd w:val="clear" w:color="auto" w:fill="F4F6FB"/>
          </w:tcPr>
          <w:p>
            <w:r>
              <w:rPr>
                <w:sz w:val="19"/>
              </w:rPr>
              <w:t>$230</w:t>
            </w:r>
          </w:p>
        </w:tc>
      </w:tr>
    </w:tbl>
    <w:p>
      <w:pPr>
        <w:spacing w:before="320" w:after="80"/>
        <w:pBdr>
          <w:bottom w:val="single" w:sz="6" w:space="1" w:color="1A376C"/>
        </w:pBdr>
      </w:pPr>
      <w:r>
        <w:rPr>
          <w:b/>
          <w:color w:val="1A376C"/>
          <w:sz w:val="23"/>
        </w:rPr>
        <w:t>3. BUSINESS OVERVIEW</w:t>
      </w:r>
      <w:r>
        <w:rPr>
          <w:i/>
          <w:color w:val="555555"/>
          <w:sz w:val="18"/>
        </w:rPr>
        <w:t xml:space="preserve">  [Deep Research]</w:t>
      </w:r>
    </w:p>
    <w:p>
      <w:pPr>
        <w:spacing w:before="0" w:after="100"/>
      </w:pPr>
      <w:r>
        <w:rPr>
          <w:b w:val="0"/>
          <w:i w:val="0"/>
          <w:sz w:val="21"/>
        </w:rPr>
        <w:t>Alibaba Group is China's dominant technology conglomerate, with six core segments: (1) Taobao &amp; Tmall Group — China's largest e-commerce ecosystem (Alibaba's primary profit engine via merchant services, advertising, and commissions; 32% domestic market share); (2) Cloud Intelligence Group — Asia-Pacific's #1 cloud provider, accelerating at 34% YoY; AI workloads now &gt;20% of external cloud revenue; Qwen AI model family among global open-source leaders; (3) International Commerce — AliExpress, Lazada, Trendyol (Turkey), Miravia; high growth but unprofitable; (4) Cainiao Smart Logistics — intelligent logistics backbone leveraging data; (5) Local Services — Ele.me (food delivery), Amap (maps); competing with Meituan; (6) Digital Media &amp; Entertainment — Youku streaming, others.</w:t>
      </w:r>
    </w:p>
    <w:p>
      <w:pPr>
        <w:spacing w:before="320" w:after="80"/>
        <w:pBdr>
          <w:bottom w:val="single" w:sz="6" w:space="1" w:color="1A376C"/>
        </w:pBdr>
      </w:pPr>
      <w:r>
        <w:rPr>
          <w:b/>
          <w:color w:val="1A376C"/>
          <w:sz w:val="23"/>
        </w:rPr>
        <w:t>4. ECONOMIC MOAT ASSESSMENT</w:t>
      </w:r>
      <w:r>
        <w:rPr>
          <w:i/>
          <w:color w:val="555555"/>
          <w:sz w:val="18"/>
        </w:rPr>
        <w:t xml:space="preserve">  [Value Investing — Step 2]</w:t>
      </w:r>
    </w:p>
    <w:tbl>
      <w:tblPr>
        <w:tblStyle w:val="TableGrid"/>
        <w:tblW w:type="auto" w:w="0"/>
        <w:jc w:val="center"/>
        <w:tblLook w:firstColumn="1" w:firstRow="1" w:lastColumn="0" w:lastRow="0" w:noHBand="0" w:noVBand="1" w:val="04A0"/>
      </w:tblPr>
      <w:tblGrid>
        <w:gridCol w:w="3024"/>
        <w:gridCol w:w="3024"/>
        <w:gridCol w:w="3024"/>
      </w:tblGrid>
      <w:tr>
        <w:tc>
          <w:tcPr>
            <w:tcW w:type="dxa" w:w="2304"/>
            <w:shd w:val="clear" w:color="auto" w:fill="1A376C"/>
          </w:tcPr>
          <w:p>
            <w:r>
              <w:rPr>
                <w:b/>
                <w:color w:val="FFFFFF"/>
                <w:sz w:val="19"/>
              </w:rPr>
              <w:t>Moat Type</w:t>
            </w:r>
          </w:p>
        </w:tc>
        <w:tc>
          <w:tcPr>
            <w:tcW w:type="dxa" w:w="5760"/>
            <w:shd w:val="clear" w:color="auto" w:fill="1A376C"/>
          </w:tcPr>
          <w:p>
            <w:r>
              <w:rPr>
                <w:b/>
                <w:color w:val="FFFFFF"/>
                <w:sz w:val="19"/>
              </w:rPr>
              <w:t>Evidence</w:t>
            </w:r>
          </w:p>
        </w:tc>
        <w:tc>
          <w:tcPr>
            <w:tcW w:type="dxa" w:w="1296"/>
            <w:shd w:val="clear" w:color="auto" w:fill="1A376C"/>
          </w:tcPr>
          <w:p>
            <w:r>
              <w:rPr>
                <w:b/>
                <w:color w:val="FFFFFF"/>
                <w:sz w:val="19"/>
              </w:rPr>
              <w:t>Strength</w:t>
            </w:r>
          </w:p>
        </w:tc>
      </w:tr>
      <w:tr>
        <w:tc>
          <w:tcPr>
            <w:tcW w:type="dxa" w:w="2304"/>
            <w:shd w:val="clear" w:color="auto" w:fill="F4F6FB"/>
          </w:tcPr>
          <w:p>
            <w:r>
              <w:rPr>
                <w:sz w:val="19"/>
              </w:rPr>
              <w:t>Network Effects (E-Commerce)</w:t>
            </w:r>
          </w:p>
        </w:tc>
        <w:tc>
          <w:tcPr>
            <w:tcW w:type="dxa" w:w="5760"/>
            <w:shd w:val="clear" w:color="auto" w:fill="F4F6FB"/>
          </w:tcPr>
          <w:p>
            <w:r>
              <w:rPr>
                <w:sz w:val="19"/>
              </w:rPr>
              <w:t>Taobao/Tmall: 900M+ annual active consumers × 10M+ merchants; largest buyer-seller marketplace in China</w:t>
            </w:r>
          </w:p>
        </w:tc>
        <w:tc>
          <w:tcPr>
            <w:tcW w:type="dxa" w:w="1296"/>
            <w:shd w:val="clear" w:color="auto" w:fill="F4F6FB"/>
          </w:tcPr>
          <w:p>
            <w:r>
              <w:rPr>
                <w:sz w:val="19"/>
              </w:rPr>
              <w:t>STRONG</w:t>
            </w:r>
          </w:p>
        </w:tc>
      </w:tr>
      <w:tr>
        <w:tc>
          <w:tcPr>
            <w:tcW w:type="dxa" w:w="2304"/>
            <w:shd w:val="clear" w:color="auto" w:fill="FFFFFF"/>
          </w:tcPr>
          <w:p>
            <w:r>
              <w:rPr>
                <w:sz w:val="19"/>
              </w:rPr>
              <w:t>AI/Cloud Infrastructure Moat</w:t>
            </w:r>
          </w:p>
        </w:tc>
        <w:tc>
          <w:tcPr>
            <w:tcW w:type="dxa" w:w="5760"/>
            <w:shd w:val="clear" w:color="auto" w:fill="FFFFFF"/>
          </w:tcPr>
          <w:p>
            <w:r>
              <w:rPr>
                <w:sz w:val="19"/>
              </w:rPr>
              <w:t>Qwen model family; Alibaba Cloud APAC #1; proprietary AI chips (Hanguang); $53B AI investment building durable lead</w:t>
            </w:r>
          </w:p>
        </w:tc>
        <w:tc>
          <w:tcPr>
            <w:tcW w:type="dxa" w:w="1296"/>
            <w:shd w:val="clear" w:color="auto" w:fill="FFFFFF"/>
          </w:tcPr>
          <w:p>
            <w:r>
              <w:rPr>
                <w:sz w:val="19"/>
              </w:rPr>
              <w:t>MEDIUM→STRONG (building)</w:t>
            </w:r>
          </w:p>
        </w:tc>
      </w:tr>
      <w:tr>
        <w:tc>
          <w:tcPr>
            <w:tcW w:type="dxa" w:w="2304"/>
            <w:shd w:val="clear" w:color="auto" w:fill="F4F6FB"/>
          </w:tcPr>
          <w:p>
            <w:r>
              <w:rPr>
                <w:sz w:val="19"/>
              </w:rPr>
              <w:t>Brand &amp; Trust (Enterprise)</w:t>
            </w:r>
          </w:p>
        </w:tc>
        <w:tc>
          <w:tcPr>
            <w:tcW w:type="dxa" w:w="5760"/>
            <w:shd w:val="clear" w:color="auto" w:fill="F4F6FB"/>
          </w:tcPr>
          <w:p>
            <w:r>
              <w:rPr>
                <w:sz w:val="19"/>
              </w:rPr>
              <w:t>Aliyun (Alibaba Cloud) trusted by China's largest enterprises; switching costs high once integrated</w:t>
            </w:r>
          </w:p>
        </w:tc>
        <w:tc>
          <w:tcPr>
            <w:tcW w:type="dxa" w:w="1296"/>
            <w:shd w:val="clear" w:color="auto" w:fill="F4F6FB"/>
          </w:tcPr>
          <w:p>
            <w:r>
              <w:rPr>
                <w:sz w:val="19"/>
              </w:rPr>
              <w:t>MEDIUM-STRONG</w:t>
            </w:r>
          </w:p>
        </w:tc>
      </w:tr>
      <w:tr>
        <w:tc>
          <w:tcPr>
            <w:tcW w:type="dxa" w:w="2304"/>
            <w:shd w:val="clear" w:color="auto" w:fill="FFFFFF"/>
          </w:tcPr>
          <w:p>
            <w:r>
              <w:rPr>
                <w:sz w:val="19"/>
              </w:rPr>
              <w:t>Data Flywheel</w:t>
            </w:r>
          </w:p>
        </w:tc>
        <w:tc>
          <w:tcPr>
            <w:tcW w:type="dxa" w:w="5760"/>
            <w:shd w:val="clear" w:color="auto" w:fill="FFFFFF"/>
          </w:tcPr>
          <w:p>
            <w:r>
              <w:rPr>
                <w:sz w:val="19"/>
              </w:rPr>
              <w:t>Broadest consumer purchase data in China; feeds merchant targeting, credit scoring, AI training</w:t>
            </w:r>
          </w:p>
        </w:tc>
        <w:tc>
          <w:tcPr>
            <w:tcW w:type="dxa" w:w="1296"/>
            <w:shd w:val="clear" w:color="auto" w:fill="FFFFFF"/>
          </w:tcPr>
          <w:p>
            <w:r>
              <w:rPr>
                <w:sz w:val="19"/>
              </w:rPr>
              <w:t>STRONG</w:t>
            </w:r>
          </w:p>
        </w:tc>
      </w:tr>
      <w:tr>
        <w:tc>
          <w:tcPr>
            <w:tcW w:type="dxa" w:w="2304"/>
            <w:shd w:val="clear" w:color="auto" w:fill="F4F6FB"/>
          </w:tcPr>
          <w:p>
            <w:r>
              <w:rPr>
                <w:sz w:val="19"/>
              </w:rPr>
              <w:t>Logistics / Ecosystem Lock-In</w:t>
            </w:r>
          </w:p>
        </w:tc>
        <w:tc>
          <w:tcPr>
            <w:tcW w:type="dxa" w:w="5760"/>
            <w:shd w:val="clear" w:color="auto" w:fill="F4F6FB"/>
          </w:tcPr>
          <w:p>
            <w:r>
              <w:rPr>
                <w:sz w:val="19"/>
              </w:rPr>
              <w:t>Cainiao integrated with merchant operations; Ele.me riders + Freshippo warehouses enabling 1-hr delivery</w:t>
            </w:r>
          </w:p>
        </w:tc>
        <w:tc>
          <w:tcPr>
            <w:tcW w:type="dxa" w:w="1296"/>
            <w:shd w:val="clear" w:color="auto" w:fill="F4F6FB"/>
          </w:tcPr>
          <w:p>
            <w:r>
              <w:rPr>
                <w:sz w:val="19"/>
              </w:rPr>
              <w:t>MEDIUM</w:t>
            </w:r>
          </w:p>
        </w:tc>
      </w:tr>
      <w:tr>
        <w:tc>
          <w:tcPr>
            <w:tcW w:type="dxa" w:w="2304"/>
            <w:shd w:val="clear" w:color="auto" w:fill="FFFFFF"/>
          </w:tcPr>
          <w:p>
            <w:r>
              <w:rPr>
                <w:sz w:val="19"/>
              </w:rPr>
              <w:t>Threat — E-Commerce</w:t>
            </w:r>
          </w:p>
        </w:tc>
        <w:tc>
          <w:tcPr>
            <w:tcW w:type="dxa" w:w="5760"/>
            <w:shd w:val="clear" w:color="auto" w:fill="FFFFFF"/>
          </w:tcPr>
          <w:p>
            <w:r>
              <w:rPr>
                <w:sz w:val="19"/>
              </w:rPr>
              <w:t>PDD at 23% market share (vs BABA 32%); ByteDance/Douyin livestream commerce growing fast; price war pressure</w:t>
            </w:r>
          </w:p>
        </w:tc>
        <w:tc>
          <w:tcPr>
            <w:tcW w:type="dxa" w:w="1296"/>
            <w:shd w:val="clear" w:color="auto" w:fill="FFFFFF"/>
          </w:tcPr>
          <w:p>
            <w:r>
              <w:rPr>
                <w:sz w:val="19"/>
              </w:rPr>
              <w:t>SIGNIFICANT</w:t>
            </w:r>
          </w:p>
        </w:tc>
      </w:tr>
      <w:tr>
        <w:tc>
          <w:tcPr>
            <w:tcW w:type="dxa" w:w="2304"/>
            <w:shd w:val="clear" w:color="auto" w:fill="F4F6FB"/>
          </w:tcPr>
          <w:p>
            <w:r>
              <w:rPr>
                <w:sz w:val="19"/>
              </w:rPr>
              <w:t>Threat — Cloud</w:t>
            </w:r>
          </w:p>
        </w:tc>
        <w:tc>
          <w:tcPr>
            <w:tcW w:type="dxa" w:w="5760"/>
            <w:shd w:val="clear" w:color="auto" w:fill="F4F6FB"/>
          </w:tcPr>
          <w:p>
            <w:r>
              <w:rPr>
                <w:sz w:val="19"/>
              </w:rPr>
              <w:t>Tencent Cloud, Huawei Cloud, ByteDance competing aggressively in domestic cloud</w:t>
            </w:r>
          </w:p>
        </w:tc>
        <w:tc>
          <w:tcPr>
            <w:tcW w:type="dxa" w:w="1296"/>
            <w:shd w:val="clear" w:color="auto" w:fill="F4F6FB"/>
          </w:tcPr>
          <w:p>
            <w:r>
              <w:rPr>
                <w:sz w:val="19"/>
              </w:rPr>
              <w:t>MODERATE</w:t>
            </w:r>
          </w:p>
        </w:tc>
      </w:tr>
    </w:tbl>
    <w:p>
      <w:pPr>
        <w:spacing w:before="0" w:after="100"/>
      </w:pPr>
      <w:r>
        <w:rPr>
          <w:b w:val="0"/>
          <w:i w:val="0"/>
          <w:color w:val="555555"/>
          <w:sz w:val="21"/>
        </w:rPr>
        <w:t>Overall Moat: MEDIUM-STRONG with widening cloud/AI moat partially offsetting narrowing e-commerce moat. The $53B CapEx commitment is building a new durable moat in AI infrastructure — but it will take 3–5 years to manifest in FCF.</w:t>
      </w:r>
    </w:p>
    <w:p>
      <w:pPr>
        <w:spacing w:before="320" w:after="80"/>
        <w:pBdr>
          <w:bottom w:val="single" w:sz="6" w:space="1" w:color="1A376C"/>
        </w:pBdr>
      </w:pPr>
      <w:r>
        <w:rPr>
          <w:b/>
          <w:color w:val="1A376C"/>
          <w:sz w:val="23"/>
        </w:rPr>
        <w:t>5. KEY FINANCIAL METRICS</w:t>
      </w:r>
      <w:r>
        <w:rPr>
          <w:i/>
          <w:color w:val="555555"/>
          <w:sz w:val="18"/>
        </w:rPr>
        <w:t xml:space="preserve">  [Deep Research + Value Investing Steps 1 &amp; 3]</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2304"/>
            <w:shd w:val="clear" w:color="auto" w:fill="1A376C"/>
          </w:tcPr>
          <w:p>
            <w:r>
              <w:rPr>
                <w:b/>
                <w:color w:val="FFFFFF"/>
                <w:sz w:val="19"/>
              </w:rPr>
              <w:t>Metric</w:t>
            </w:r>
          </w:p>
        </w:tc>
        <w:tc>
          <w:tcPr>
            <w:tcW w:type="dxa" w:w="1080"/>
            <w:shd w:val="clear" w:color="auto" w:fill="1A376C"/>
          </w:tcPr>
          <w:p>
            <w:r>
              <w:rPr>
                <w:b/>
                <w:color w:val="FFFFFF"/>
                <w:sz w:val="19"/>
              </w:rPr>
              <w:t>FY2022</w:t>
            </w:r>
          </w:p>
        </w:tc>
        <w:tc>
          <w:tcPr>
            <w:tcW w:type="dxa" w:w="1080"/>
            <w:shd w:val="clear" w:color="auto" w:fill="1A376C"/>
          </w:tcPr>
          <w:p>
            <w:r>
              <w:rPr>
                <w:b/>
                <w:color w:val="FFFFFF"/>
                <w:sz w:val="19"/>
              </w:rPr>
              <w:t>FY2023</w:t>
            </w:r>
          </w:p>
        </w:tc>
        <w:tc>
          <w:tcPr>
            <w:tcW w:type="dxa" w:w="1080"/>
            <w:shd w:val="clear" w:color="auto" w:fill="1A376C"/>
          </w:tcPr>
          <w:p>
            <w:r>
              <w:rPr>
                <w:b/>
                <w:color w:val="FFFFFF"/>
                <w:sz w:val="19"/>
              </w:rPr>
              <w:t>FY2024</w:t>
            </w:r>
          </w:p>
        </w:tc>
        <w:tc>
          <w:tcPr>
            <w:tcW w:type="dxa" w:w="1080"/>
            <w:shd w:val="clear" w:color="auto" w:fill="1A376C"/>
          </w:tcPr>
          <w:p>
            <w:r>
              <w:rPr>
                <w:b/>
                <w:color w:val="FFFFFF"/>
                <w:sz w:val="19"/>
              </w:rPr>
              <w:t>FY2025A</w:t>
            </w:r>
          </w:p>
        </w:tc>
        <w:tc>
          <w:tcPr>
            <w:tcW w:type="dxa" w:w="1080"/>
            <w:shd w:val="clear" w:color="auto" w:fill="1A376C"/>
          </w:tcPr>
          <w:p>
            <w:r>
              <w:rPr>
                <w:b/>
                <w:color w:val="FFFFFF"/>
                <w:sz w:val="19"/>
              </w:rPr>
              <w:t>YoY</w:t>
            </w:r>
          </w:p>
        </w:tc>
        <w:tc>
          <w:tcPr>
            <w:tcW w:type="dxa" w:w="2736"/>
            <w:shd w:val="clear" w:color="auto" w:fill="1A376C"/>
          </w:tcPr>
          <w:p>
            <w:r>
              <w:rPr>
                <w:b/>
                <w:color w:val="FFFFFF"/>
                <w:sz w:val="19"/>
              </w:rPr>
              <w:t>Source</w:t>
            </w:r>
          </w:p>
        </w:tc>
      </w:tr>
      <w:tr>
        <w:tc>
          <w:tcPr>
            <w:tcW w:type="dxa" w:w="2304"/>
            <w:shd w:val="clear" w:color="auto" w:fill="F4F6FB"/>
          </w:tcPr>
          <w:p>
            <w:r>
              <w:rPr>
                <w:sz w:val="19"/>
              </w:rPr>
              <w:t>Revenue</w:t>
            </w:r>
          </w:p>
        </w:tc>
        <w:tc>
          <w:tcPr>
            <w:tcW w:type="dxa" w:w="1080"/>
            <w:shd w:val="clear" w:color="auto" w:fill="F4F6FB"/>
          </w:tcPr>
          <w:p>
            <w:r>
              <w:rPr>
                <w:sz w:val="19"/>
              </w:rPr>
              <w:t>$134.6B</w:t>
            </w:r>
          </w:p>
        </w:tc>
        <w:tc>
          <w:tcPr>
            <w:tcW w:type="dxa" w:w="1080"/>
            <w:shd w:val="clear" w:color="auto" w:fill="F4F6FB"/>
          </w:tcPr>
          <w:p>
            <w:r>
              <w:rPr>
                <w:sz w:val="19"/>
              </w:rPr>
              <w:t>$126.5B</w:t>
            </w:r>
          </w:p>
        </w:tc>
        <w:tc>
          <w:tcPr>
            <w:tcW w:type="dxa" w:w="1080"/>
            <w:shd w:val="clear" w:color="auto" w:fill="F4F6FB"/>
          </w:tcPr>
          <w:p>
            <w:r>
              <w:rPr>
                <w:sz w:val="19"/>
              </w:rPr>
              <w:t>$130.4B</w:t>
            </w:r>
          </w:p>
        </w:tc>
        <w:tc>
          <w:tcPr>
            <w:tcW w:type="dxa" w:w="1080"/>
            <w:shd w:val="clear" w:color="auto" w:fill="F4F6FB"/>
          </w:tcPr>
          <w:p>
            <w:r>
              <w:rPr>
                <w:sz w:val="19"/>
              </w:rPr>
              <w:t>$137.3B</w:t>
            </w:r>
          </w:p>
        </w:tc>
        <w:tc>
          <w:tcPr>
            <w:tcW w:type="dxa" w:w="1080"/>
            <w:shd w:val="clear" w:color="auto" w:fill="F4F6FB"/>
          </w:tcPr>
          <w:p>
            <w:r>
              <w:rPr>
                <w:sz w:val="19"/>
              </w:rPr>
              <w:t>+5.3%</w:t>
            </w:r>
          </w:p>
        </w:tc>
        <w:tc>
          <w:tcPr>
            <w:tcW w:type="dxa" w:w="2736"/>
            <w:shd w:val="clear" w:color="auto" w:fill="F4F6FB"/>
          </w:tcPr>
          <w:p>
            <w:r>
              <w:rPr>
                <w:sz w:val="19"/>
              </w:rPr>
              <w:t>FY2025 annual report</w:t>
            </w:r>
          </w:p>
        </w:tc>
      </w:tr>
      <w:tr>
        <w:tc>
          <w:tcPr>
            <w:tcW w:type="dxa" w:w="2304"/>
            <w:shd w:val="clear" w:color="auto" w:fill="FFFFFF"/>
          </w:tcPr>
          <w:p>
            <w:r>
              <w:rPr>
                <w:sz w:val="19"/>
              </w:rPr>
              <w:t>Revenue (Cloud only)</w:t>
            </w:r>
          </w:p>
        </w:tc>
        <w:tc>
          <w:tcPr>
            <w:tcW w:type="dxa" w:w="1080"/>
            <w:shd w:val="clear" w:color="auto" w:fill="FFFFFF"/>
          </w:tcPr>
          <w:p>
            <w:r>
              <w:rPr>
                <w:sz w:val="19"/>
              </w:rPr>
              <w:t>~$11B</w:t>
            </w:r>
          </w:p>
        </w:tc>
        <w:tc>
          <w:tcPr>
            <w:tcW w:type="dxa" w:w="1080"/>
            <w:shd w:val="clear" w:color="auto" w:fill="FFFFFF"/>
          </w:tcPr>
          <w:p>
            <w:r>
              <w:rPr>
                <w:sz w:val="19"/>
              </w:rPr>
              <w:t>~$14B</w:t>
            </w:r>
          </w:p>
        </w:tc>
        <w:tc>
          <w:tcPr>
            <w:tcW w:type="dxa" w:w="1080"/>
            <w:shd w:val="clear" w:color="auto" w:fill="FFFFFF"/>
          </w:tcPr>
          <w:p>
            <w:r>
              <w:rPr>
                <w:sz w:val="19"/>
              </w:rPr>
              <w:t>~$18B</w:t>
            </w:r>
          </w:p>
        </w:tc>
        <w:tc>
          <w:tcPr>
            <w:tcW w:type="dxa" w:w="1080"/>
            <w:shd w:val="clear" w:color="auto" w:fill="FFFFFF"/>
          </w:tcPr>
          <w:p>
            <w:r>
              <w:rPr>
                <w:sz w:val="19"/>
              </w:rPr>
              <w:t>~$21B+</w:t>
            </w:r>
          </w:p>
        </w:tc>
        <w:tc>
          <w:tcPr>
            <w:tcW w:type="dxa" w:w="1080"/>
            <w:shd w:val="clear" w:color="auto" w:fill="FFFFFF"/>
          </w:tcPr>
          <w:p>
            <w:r>
              <w:rPr>
                <w:sz w:val="19"/>
              </w:rPr>
              <w:t>+18%+</w:t>
            </w:r>
          </w:p>
        </w:tc>
        <w:tc>
          <w:tcPr>
            <w:tcW w:type="dxa" w:w="2736"/>
            <w:shd w:val="clear" w:color="auto" w:fill="FFFFFF"/>
          </w:tcPr>
          <w:p>
            <w:r>
              <w:rPr>
                <w:sz w:val="19"/>
              </w:rPr>
              <w:t>Quarterly breakdowns</w:t>
            </w:r>
          </w:p>
        </w:tc>
      </w:tr>
      <w:tr>
        <w:tc>
          <w:tcPr>
            <w:tcW w:type="dxa" w:w="2304"/>
            <w:shd w:val="clear" w:color="auto" w:fill="F4F6FB"/>
          </w:tcPr>
          <w:p>
            <w:r>
              <w:rPr>
                <w:sz w:val="19"/>
              </w:rPr>
              <w:t>GAAP Net Income</w:t>
            </w:r>
          </w:p>
        </w:tc>
        <w:tc>
          <w:tcPr>
            <w:tcW w:type="dxa" w:w="1080"/>
            <w:shd w:val="clear" w:color="auto" w:fill="F4F6FB"/>
          </w:tcPr>
          <w:p>
            <w:r>
              <w:rPr>
                <w:sz w:val="19"/>
              </w:rPr>
              <w:t>$9.7B</w:t>
            </w:r>
          </w:p>
        </w:tc>
        <w:tc>
          <w:tcPr>
            <w:tcW w:type="dxa" w:w="1080"/>
            <w:shd w:val="clear" w:color="auto" w:fill="F4F6FB"/>
          </w:tcPr>
          <w:p>
            <w:r>
              <w:rPr>
                <w:sz w:val="19"/>
              </w:rPr>
              <w:t>$10.5B</w:t>
            </w:r>
          </w:p>
        </w:tc>
        <w:tc>
          <w:tcPr>
            <w:tcW w:type="dxa" w:w="1080"/>
            <w:shd w:val="clear" w:color="auto" w:fill="F4F6FB"/>
          </w:tcPr>
          <w:p>
            <w:r>
              <w:rPr>
                <w:sz w:val="19"/>
              </w:rPr>
              <w:t>$10.7B</w:t>
            </w:r>
          </w:p>
        </w:tc>
        <w:tc>
          <w:tcPr>
            <w:tcW w:type="dxa" w:w="1080"/>
            <w:shd w:val="clear" w:color="auto" w:fill="F4F6FB"/>
          </w:tcPr>
          <w:p>
            <w:r>
              <w:rPr>
                <w:sz w:val="19"/>
              </w:rPr>
              <w:t>$17.9B</w:t>
            </w:r>
          </w:p>
        </w:tc>
        <w:tc>
          <w:tcPr>
            <w:tcW w:type="dxa" w:w="1080"/>
            <w:shd w:val="clear" w:color="auto" w:fill="F4F6FB"/>
          </w:tcPr>
          <w:p>
            <w:r>
              <w:rPr>
                <w:sz w:val="19"/>
              </w:rPr>
              <w:t>+67%</w:t>
            </w:r>
          </w:p>
        </w:tc>
        <w:tc>
          <w:tcPr>
            <w:tcW w:type="dxa" w:w="2736"/>
            <w:shd w:val="clear" w:color="auto" w:fill="F4F6FB"/>
          </w:tcPr>
          <w:p>
            <w:r>
              <w:rPr>
                <w:sz w:val="19"/>
              </w:rPr>
              <w:t>FY2025 annual report</w:t>
            </w:r>
          </w:p>
        </w:tc>
      </w:tr>
      <w:tr>
        <w:tc>
          <w:tcPr>
            <w:tcW w:type="dxa" w:w="2304"/>
            <w:shd w:val="clear" w:color="auto" w:fill="FFFFFF"/>
          </w:tcPr>
          <w:p>
            <w:r>
              <w:rPr>
                <w:sz w:val="19"/>
              </w:rPr>
              <w:t>Net Margin</w:t>
            </w:r>
          </w:p>
        </w:tc>
        <w:tc>
          <w:tcPr>
            <w:tcW w:type="dxa" w:w="1080"/>
            <w:shd w:val="clear" w:color="auto" w:fill="FFFFFF"/>
          </w:tcPr>
          <w:p>
            <w:r>
              <w:rPr>
                <w:sz w:val="19"/>
              </w:rPr>
              <w:t>7.2%</w:t>
            </w:r>
          </w:p>
        </w:tc>
        <w:tc>
          <w:tcPr>
            <w:tcW w:type="dxa" w:w="1080"/>
            <w:shd w:val="clear" w:color="auto" w:fill="FFFFFF"/>
          </w:tcPr>
          <w:p>
            <w:r>
              <w:rPr>
                <w:sz w:val="19"/>
              </w:rPr>
              <w:t>8.3%</w:t>
            </w:r>
          </w:p>
        </w:tc>
        <w:tc>
          <w:tcPr>
            <w:tcW w:type="dxa" w:w="1080"/>
            <w:shd w:val="clear" w:color="auto" w:fill="FFFFFF"/>
          </w:tcPr>
          <w:p>
            <w:r>
              <w:rPr>
                <w:sz w:val="19"/>
              </w:rPr>
              <w:t>8.2%</w:t>
            </w:r>
          </w:p>
        </w:tc>
        <w:tc>
          <w:tcPr>
            <w:tcW w:type="dxa" w:w="1080"/>
            <w:shd w:val="clear" w:color="auto" w:fill="FFFFFF"/>
          </w:tcPr>
          <w:p>
            <w:r>
              <w:rPr>
                <w:sz w:val="19"/>
              </w:rPr>
              <w:t>13.1%</w:t>
            </w:r>
          </w:p>
        </w:tc>
        <w:tc>
          <w:tcPr>
            <w:tcW w:type="dxa" w:w="1080"/>
            <w:shd w:val="clear" w:color="auto" w:fill="FFFFFF"/>
          </w:tcPr>
          <w:p>
            <w:r>
              <w:rPr>
                <w:sz w:val="19"/>
              </w:rPr>
              <w:t>+490bps</w:t>
            </w:r>
          </w:p>
        </w:tc>
        <w:tc>
          <w:tcPr>
            <w:tcW w:type="dxa" w:w="2736"/>
            <w:shd w:val="clear" w:color="auto" w:fill="FFFFFF"/>
          </w:tcPr>
          <w:p>
            <w:r>
              <w:rPr>
                <w:sz w:val="19"/>
              </w:rPr>
              <w:t>Calculated</w:t>
            </w:r>
          </w:p>
        </w:tc>
      </w:tr>
      <w:tr>
        <w:tc>
          <w:tcPr>
            <w:tcW w:type="dxa" w:w="2304"/>
            <w:shd w:val="clear" w:color="auto" w:fill="F4F6FB"/>
          </w:tcPr>
          <w:p>
            <w:r>
              <w:rPr>
                <w:sz w:val="19"/>
              </w:rPr>
              <w:t>Gross Margin</w:t>
            </w:r>
          </w:p>
        </w:tc>
        <w:tc>
          <w:tcPr>
            <w:tcW w:type="dxa" w:w="1080"/>
            <w:shd w:val="clear" w:color="auto" w:fill="F4F6FB"/>
          </w:tcPr>
          <w:p>
            <w:r>
              <w:rPr>
                <w:sz w:val="19"/>
              </w:rPr>
              <w:t>43%</w:t>
            </w:r>
          </w:p>
        </w:tc>
        <w:tc>
          <w:tcPr>
            <w:tcW w:type="dxa" w:w="1080"/>
            <w:shd w:val="clear" w:color="auto" w:fill="F4F6FB"/>
          </w:tcPr>
          <w:p>
            <w:r>
              <w:rPr>
                <w:sz w:val="19"/>
              </w:rPr>
              <w:t>37%</w:t>
            </w:r>
          </w:p>
        </w:tc>
        <w:tc>
          <w:tcPr>
            <w:tcW w:type="dxa" w:w="1080"/>
            <w:shd w:val="clear" w:color="auto" w:fill="F4F6FB"/>
          </w:tcPr>
          <w:p>
            <w:r>
              <w:rPr>
                <w:sz w:val="19"/>
              </w:rPr>
              <w:t>37%</w:t>
            </w:r>
          </w:p>
        </w:tc>
        <w:tc>
          <w:tcPr>
            <w:tcW w:type="dxa" w:w="1080"/>
            <w:shd w:val="clear" w:color="auto" w:fill="F4F6FB"/>
          </w:tcPr>
          <w:p>
            <w:r>
              <w:rPr>
                <w:sz w:val="19"/>
              </w:rPr>
              <w:t>40.0%</w:t>
            </w:r>
          </w:p>
        </w:tc>
        <w:tc>
          <w:tcPr>
            <w:tcW w:type="dxa" w:w="1080"/>
            <w:shd w:val="clear" w:color="auto" w:fill="F4F6FB"/>
          </w:tcPr>
          <w:p>
            <w:r>
              <w:rPr>
                <w:sz w:val="19"/>
              </w:rPr>
              <w:t>+300bps</w:t>
            </w:r>
          </w:p>
        </w:tc>
        <w:tc>
          <w:tcPr>
            <w:tcW w:type="dxa" w:w="2736"/>
            <w:shd w:val="clear" w:color="auto" w:fill="F4F6FB"/>
          </w:tcPr>
          <w:p>
            <w:r>
              <w:rPr>
                <w:sz w:val="19"/>
              </w:rPr>
              <w:t>FY2025 annual report</w:t>
            </w:r>
          </w:p>
        </w:tc>
      </w:tr>
      <w:tr>
        <w:tc>
          <w:tcPr>
            <w:tcW w:type="dxa" w:w="2304"/>
            <w:shd w:val="clear" w:color="auto" w:fill="FFFFFF"/>
          </w:tcPr>
          <w:p>
            <w:r>
              <w:rPr>
                <w:sz w:val="19"/>
              </w:rPr>
              <w:t>Operating Margin</w:t>
            </w:r>
          </w:p>
        </w:tc>
        <w:tc>
          <w:tcPr>
            <w:tcW w:type="dxa" w:w="1080"/>
            <w:shd w:val="clear" w:color="auto" w:fill="FFFFFF"/>
          </w:tcPr>
          <w:p>
            <w:r>
              <w:rPr>
                <w:sz w:val="19"/>
              </w:rPr>
              <w:t>11%</w:t>
            </w:r>
          </w:p>
        </w:tc>
        <w:tc>
          <w:tcPr>
            <w:tcW w:type="dxa" w:w="1080"/>
            <w:shd w:val="clear" w:color="auto" w:fill="FFFFFF"/>
          </w:tcPr>
          <w:p>
            <w:r>
              <w:rPr>
                <w:sz w:val="19"/>
              </w:rPr>
              <w:t>12%</w:t>
            </w:r>
          </w:p>
        </w:tc>
        <w:tc>
          <w:tcPr>
            <w:tcW w:type="dxa" w:w="1080"/>
            <w:shd w:val="clear" w:color="auto" w:fill="FFFFFF"/>
          </w:tcPr>
          <w:p>
            <w:r>
              <w:rPr>
                <w:sz w:val="19"/>
              </w:rPr>
              <w:t>10%</w:t>
            </w:r>
          </w:p>
        </w:tc>
        <w:tc>
          <w:tcPr>
            <w:tcW w:type="dxa" w:w="1080"/>
            <w:shd w:val="clear" w:color="auto" w:fill="FFFFFF"/>
          </w:tcPr>
          <w:p>
            <w:r>
              <w:rPr>
                <w:sz w:val="19"/>
              </w:rPr>
              <w:t>14.1%</w:t>
            </w:r>
          </w:p>
        </w:tc>
        <w:tc>
          <w:tcPr>
            <w:tcW w:type="dxa" w:w="1080"/>
            <w:shd w:val="clear" w:color="auto" w:fill="FFFFFF"/>
          </w:tcPr>
          <w:p>
            <w:r>
              <w:rPr>
                <w:sz w:val="19"/>
              </w:rPr>
              <w:t>+410bps</w:t>
            </w:r>
          </w:p>
        </w:tc>
        <w:tc>
          <w:tcPr>
            <w:tcW w:type="dxa" w:w="2736"/>
            <w:shd w:val="clear" w:color="auto" w:fill="FFFFFF"/>
          </w:tcPr>
          <w:p>
            <w:r>
              <w:rPr>
                <w:sz w:val="19"/>
              </w:rPr>
              <w:t>FY2025 annual report</w:t>
            </w:r>
          </w:p>
        </w:tc>
      </w:tr>
      <w:tr>
        <w:tc>
          <w:tcPr>
            <w:tcW w:type="dxa" w:w="2304"/>
            <w:shd w:val="clear" w:color="auto" w:fill="F4F6FB"/>
          </w:tcPr>
          <w:p>
            <w:r>
              <w:rPr>
                <w:sz w:val="19"/>
              </w:rPr>
              <w:t>EPS (GAAP, per ADS)</w:t>
            </w:r>
          </w:p>
        </w:tc>
        <w:tc>
          <w:tcPr>
            <w:tcW w:type="dxa" w:w="1080"/>
            <w:shd w:val="clear" w:color="auto" w:fill="F4F6FB"/>
          </w:tcPr>
          <w:p>
            <w:r>
              <w:rPr>
                <w:sz w:val="19"/>
              </w:rPr>
              <w:t>~$4.00</w:t>
            </w:r>
          </w:p>
        </w:tc>
        <w:tc>
          <w:tcPr>
            <w:tcW w:type="dxa" w:w="1080"/>
            <w:shd w:val="clear" w:color="auto" w:fill="F4F6FB"/>
          </w:tcPr>
          <w:p>
            <w:r>
              <w:rPr>
                <w:sz w:val="19"/>
              </w:rPr>
              <w:t>~$4.30</w:t>
            </w:r>
          </w:p>
        </w:tc>
        <w:tc>
          <w:tcPr>
            <w:tcW w:type="dxa" w:w="1080"/>
            <w:shd w:val="clear" w:color="auto" w:fill="F4F6FB"/>
          </w:tcPr>
          <w:p>
            <w:r>
              <w:rPr>
                <w:sz w:val="19"/>
              </w:rPr>
              <w:t>~$4.40</w:t>
            </w:r>
          </w:p>
        </w:tc>
        <w:tc>
          <w:tcPr>
            <w:tcW w:type="dxa" w:w="1080"/>
            <w:shd w:val="clear" w:color="auto" w:fill="F4F6FB"/>
          </w:tcPr>
          <w:p>
            <w:r>
              <w:rPr>
                <w:sz w:val="19"/>
              </w:rPr>
              <w:t>~$5.22</w:t>
            </w:r>
          </w:p>
        </w:tc>
        <w:tc>
          <w:tcPr>
            <w:tcW w:type="dxa" w:w="1080"/>
            <w:shd w:val="clear" w:color="auto" w:fill="F4F6FB"/>
          </w:tcPr>
          <w:p>
            <w:r>
              <w:rPr>
                <w:sz w:val="19"/>
              </w:rPr>
              <w:t>+19%</w:t>
            </w:r>
          </w:p>
        </w:tc>
        <w:tc>
          <w:tcPr>
            <w:tcW w:type="dxa" w:w="2736"/>
            <w:shd w:val="clear" w:color="auto" w:fill="F4F6FB"/>
          </w:tcPr>
          <w:p>
            <w:r>
              <w:rPr>
                <w:sz w:val="19"/>
              </w:rPr>
              <w:t>Derived from P/E</w:t>
            </w:r>
          </w:p>
        </w:tc>
      </w:tr>
      <w:tr>
        <w:tc>
          <w:tcPr>
            <w:tcW w:type="dxa" w:w="2304"/>
            <w:shd w:val="clear" w:color="auto" w:fill="FFFFFF"/>
          </w:tcPr>
          <w:p>
            <w:r>
              <w:rPr>
                <w:sz w:val="19"/>
              </w:rPr>
              <w:t>FCF (OCF – CapEx)</w:t>
            </w:r>
          </w:p>
        </w:tc>
        <w:tc>
          <w:tcPr>
            <w:tcW w:type="dxa" w:w="1080"/>
            <w:shd w:val="clear" w:color="auto" w:fill="FFFFFF"/>
          </w:tcPr>
          <w:p>
            <w:r>
              <w:rPr>
                <w:sz w:val="19"/>
              </w:rPr>
              <w:t>~$23.5B</w:t>
            </w:r>
          </w:p>
        </w:tc>
        <w:tc>
          <w:tcPr>
            <w:tcW w:type="dxa" w:w="1080"/>
            <w:shd w:val="clear" w:color="auto" w:fill="FFFFFF"/>
          </w:tcPr>
          <w:p>
            <w:r>
              <w:rPr>
                <w:sz w:val="19"/>
              </w:rPr>
              <w:t>~$29.2B</w:t>
            </w:r>
          </w:p>
        </w:tc>
        <w:tc>
          <w:tcPr>
            <w:tcW w:type="dxa" w:w="1080"/>
            <w:shd w:val="clear" w:color="auto" w:fill="FFFFFF"/>
          </w:tcPr>
          <w:p>
            <w:r>
              <w:rPr>
                <w:sz w:val="19"/>
              </w:rPr>
              <w:t>$20.9B</w:t>
            </w:r>
          </w:p>
        </w:tc>
        <w:tc>
          <w:tcPr>
            <w:tcW w:type="dxa" w:w="1080"/>
            <w:shd w:val="clear" w:color="auto" w:fill="FFFFFF"/>
          </w:tcPr>
          <w:p>
            <w:r>
              <w:rPr>
                <w:sz w:val="19"/>
              </w:rPr>
              <w:t>$22.87B</w:t>
            </w:r>
          </w:p>
        </w:tc>
        <w:tc>
          <w:tcPr>
            <w:tcW w:type="dxa" w:w="1080"/>
            <w:shd w:val="clear" w:color="auto" w:fill="FFFFFF"/>
          </w:tcPr>
          <w:p>
            <w:r>
              <w:rPr>
                <w:sz w:val="19"/>
              </w:rPr>
              <w:t>+9.4%</w:t>
            </w:r>
          </w:p>
        </w:tc>
        <w:tc>
          <w:tcPr>
            <w:tcW w:type="dxa" w:w="2736"/>
            <w:shd w:val="clear" w:color="auto" w:fill="FFFFFF"/>
          </w:tcPr>
          <w:p>
            <w:r>
              <w:rPr>
                <w:sz w:val="19"/>
              </w:rPr>
              <w:t>MacroTrends/Earnings</w:t>
            </w:r>
          </w:p>
        </w:tc>
      </w:tr>
      <w:tr>
        <w:tc>
          <w:tcPr>
            <w:tcW w:type="dxa" w:w="2304"/>
            <w:shd w:val="clear" w:color="auto" w:fill="F4F6FB"/>
          </w:tcPr>
          <w:p>
            <w:r>
              <w:rPr>
                <w:sz w:val="19"/>
              </w:rPr>
              <w:t>FCF Margin</w:t>
            </w:r>
          </w:p>
        </w:tc>
        <w:tc>
          <w:tcPr>
            <w:tcW w:type="dxa" w:w="1080"/>
            <w:shd w:val="clear" w:color="auto" w:fill="F4F6FB"/>
          </w:tcPr>
          <w:p>
            <w:r>
              <w:rPr>
                <w:sz w:val="19"/>
              </w:rPr>
              <w:t>~17%</w:t>
            </w:r>
          </w:p>
        </w:tc>
        <w:tc>
          <w:tcPr>
            <w:tcW w:type="dxa" w:w="1080"/>
            <w:shd w:val="clear" w:color="auto" w:fill="F4F6FB"/>
          </w:tcPr>
          <w:p>
            <w:r>
              <w:rPr>
                <w:sz w:val="19"/>
              </w:rPr>
              <w:t>~23%</w:t>
            </w:r>
          </w:p>
        </w:tc>
        <w:tc>
          <w:tcPr>
            <w:tcW w:type="dxa" w:w="1080"/>
            <w:shd w:val="clear" w:color="auto" w:fill="F4F6FB"/>
          </w:tcPr>
          <w:p>
            <w:r>
              <w:rPr>
                <w:sz w:val="19"/>
              </w:rPr>
              <w:t>~16%</w:t>
            </w:r>
          </w:p>
        </w:tc>
        <w:tc>
          <w:tcPr>
            <w:tcW w:type="dxa" w:w="1080"/>
            <w:shd w:val="clear" w:color="auto" w:fill="F4F6FB"/>
          </w:tcPr>
          <w:p>
            <w:r>
              <w:rPr>
                <w:sz w:val="19"/>
              </w:rPr>
              <w:t>~16.7%</w:t>
            </w:r>
          </w:p>
        </w:tc>
        <w:tc>
          <w:tcPr>
            <w:tcW w:type="dxa" w:w="1080"/>
            <w:shd w:val="clear" w:color="auto" w:fill="F4F6FB"/>
          </w:tcPr>
          <w:p>
            <w:r>
              <w:rPr>
                <w:sz w:val="19"/>
              </w:rPr>
            </w:r>
          </w:p>
        </w:tc>
        <w:tc>
          <w:tcPr>
            <w:tcW w:type="dxa" w:w="2736"/>
            <w:shd w:val="clear" w:color="auto" w:fill="F4F6FB"/>
          </w:tcPr>
          <w:p>
            <w:r>
              <w:rPr>
                <w:sz w:val="19"/>
              </w:rPr>
              <w:t>Calculated</w:t>
            </w:r>
          </w:p>
        </w:tc>
      </w:tr>
      <w:tr>
        <w:tc>
          <w:tcPr>
            <w:tcW w:type="dxa" w:w="2304"/>
            <w:shd w:val="clear" w:color="auto" w:fill="FFFFFF"/>
          </w:tcPr>
          <w:p>
            <w:r>
              <w:rPr>
                <w:sz w:val="19"/>
              </w:rPr>
              <w:t>Net Cash</w:t>
            </w:r>
          </w:p>
        </w:tc>
        <w:tc>
          <w:tcPr>
            <w:tcW w:type="dxa" w:w="1080"/>
            <w:shd w:val="clear" w:color="auto" w:fill="FFFFFF"/>
          </w:tcPr>
          <w:p>
            <w:r>
              <w:rPr>
                <w:sz w:val="19"/>
              </w:rPr>
              <w:t>—</w:t>
            </w:r>
          </w:p>
        </w:tc>
        <w:tc>
          <w:tcPr>
            <w:tcW w:type="dxa" w:w="1080"/>
            <w:shd w:val="clear" w:color="auto" w:fill="FFFFFF"/>
          </w:tcPr>
          <w:p>
            <w:r>
              <w:rPr>
                <w:sz w:val="19"/>
              </w:rPr>
              <w:t>—</w:t>
            </w:r>
          </w:p>
        </w:tc>
        <w:tc>
          <w:tcPr>
            <w:tcW w:type="dxa" w:w="1080"/>
            <w:shd w:val="clear" w:color="auto" w:fill="FFFFFF"/>
          </w:tcPr>
          <w:p>
            <w:r>
              <w:rPr>
                <w:sz w:val="19"/>
              </w:rPr>
              <w:t>~$45B</w:t>
            </w:r>
          </w:p>
        </w:tc>
        <w:tc>
          <w:tcPr>
            <w:tcW w:type="dxa" w:w="1080"/>
            <w:shd w:val="clear" w:color="auto" w:fill="FFFFFF"/>
          </w:tcPr>
          <w:p>
            <w:r>
              <w:rPr>
                <w:sz w:val="19"/>
              </w:rPr>
              <w:t>~$49B</w:t>
            </w:r>
          </w:p>
        </w:tc>
        <w:tc>
          <w:tcPr>
            <w:tcW w:type="dxa" w:w="1080"/>
            <w:shd w:val="clear" w:color="auto" w:fill="FFFFFF"/>
          </w:tcPr>
          <w:p>
            <w:r>
              <w:rPr>
                <w:sz w:val="19"/>
              </w:rPr>
            </w:r>
          </w:p>
        </w:tc>
        <w:tc>
          <w:tcPr>
            <w:tcW w:type="dxa" w:w="2736"/>
            <w:shd w:val="clear" w:color="auto" w:fill="FFFFFF"/>
          </w:tcPr>
          <w:p>
            <w:r>
              <w:rPr>
                <w:sz w:val="19"/>
              </w:rPr>
              <w:t>Balance sheet</w:t>
            </w:r>
          </w:p>
        </w:tc>
      </w:tr>
      <w:tr>
        <w:tc>
          <w:tcPr>
            <w:tcW w:type="dxa" w:w="2304"/>
            <w:shd w:val="clear" w:color="auto" w:fill="F4F6FB"/>
          </w:tcPr>
          <w:p>
            <w:r>
              <w:rPr>
                <w:sz w:val="19"/>
              </w:rPr>
              <w:t>Total Payment Volume (GMV)</w:t>
            </w:r>
          </w:p>
        </w:tc>
        <w:tc>
          <w:tcPr>
            <w:tcW w:type="dxa" w:w="1080"/>
            <w:shd w:val="clear" w:color="auto" w:fill="F4F6FB"/>
          </w:tcPr>
          <w:p>
            <w:r>
              <w:rPr>
                <w:sz w:val="19"/>
              </w:rPr>
              <w:t>~$1.3T</w:t>
            </w:r>
          </w:p>
        </w:tc>
        <w:tc>
          <w:tcPr>
            <w:tcW w:type="dxa" w:w="1080"/>
            <w:shd w:val="clear" w:color="auto" w:fill="F4F6FB"/>
          </w:tcPr>
          <w:p>
            <w:r>
              <w:rPr>
                <w:sz w:val="19"/>
              </w:rPr>
              <w:t>~$1.3T</w:t>
            </w:r>
          </w:p>
        </w:tc>
        <w:tc>
          <w:tcPr>
            <w:tcW w:type="dxa" w:w="1080"/>
            <w:shd w:val="clear" w:color="auto" w:fill="F4F6FB"/>
          </w:tcPr>
          <w:p>
            <w:r>
              <w:rPr>
                <w:sz w:val="19"/>
              </w:rPr>
              <w:t>~$1.4T</w:t>
            </w:r>
          </w:p>
        </w:tc>
        <w:tc>
          <w:tcPr>
            <w:tcW w:type="dxa" w:w="1080"/>
            <w:shd w:val="clear" w:color="auto" w:fill="F4F6FB"/>
          </w:tcPr>
          <w:p>
            <w:r>
              <w:rPr>
                <w:sz w:val="19"/>
              </w:rPr>
              <w:t>~$1.5T</w:t>
            </w:r>
          </w:p>
        </w:tc>
        <w:tc>
          <w:tcPr>
            <w:tcW w:type="dxa" w:w="1080"/>
            <w:shd w:val="clear" w:color="auto" w:fill="F4F6FB"/>
          </w:tcPr>
          <w:p>
            <w:r>
              <w:rPr>
                <w:sz w:val="19"/>
              </w:rPr>
              <w:t>+5%</w:t>
            </w:r>
          </w:p>
        </w:tc>
        <w:tc>
          <w:tcPr>
            <w:tcW w:type="dxa" w:w="2736"/>
            <w:shd w:val="clear" w:color="auto" w:fill="F4F6FB"/>
          </w:tcPr>
          <w:p>
            <w:r>
              <w:rPr>
                <w:sz w:val="19"/>
              </w:rPr>
              <w:t>Company disclosures</w:t>
            </w:r>
          </w:p>
        </w:tc>
      </w:tr>
    </w:tbl>
    <w:p>
      <w:pPr>
        <w:spacing w:before="320" w:after="80"/>
        <w:pBdr>
          <w:bottom w:val="single" w:sz="6" w:space="1" w:color="1A376C"/>
        </w:pBdr>
      </w:pPr>
      <w:r>
        <w:rPr>
          <w:b/>
          <w:color w:val="1A376C"/>
          <w:sz w:val="23"/>
        </w:rPr>
        <w:t>5B. Q3 FY2026 QUARTERLY SPOTLIGHT (OCT–DEC 2025)</w:t>
      </w:r>
      <w:r>
        <w:rPr>
          <w:i/>
          <w:color w:val="555555"/>
          <w:sz w:val="18"/>
        </w:rPr>
        <w:t xml:space="preserve">  [Most Recent Data]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80"/>
            <w:shd w:val="clear" w:color="auto" w:fill="1A376C"/>
          </w:tcPr>
          <w:p>
            <w:r>
              <w:rPr>
                <w:b/>
                <w:color w:val="FFFFFF"/>
                <w:sz w:val="19"/>
              </w:rPr>
              <w:t>Metric</w:t>
            </w:r>
          </w:p>
        </w:tc>
        <w:tc>
          <w:tcPr>
            <w:tcW w:type="dxa" w:w="1872"/>
            <w:shd w:val="clear" w:color="auto" w:fill="1A376C"/>
          </w:tcPr>
          <w:p>
            <w:r>
              <w:rPr>
                <w:b/>
                <w:color w:val="FFFFFF"/>
                <w:sz w:val="19"/>
              </w:rPr>
              <w:t>Q3 FY2026</w:t>
            </w:r>
          </w:p>
        </w:tc>
        <w:tc>
          <w:tcPr>
            <w:tcW w:type="dxa" w:w="1440"/>
            <w:shd w:val="clear" w:color="auto" w:fill="1A376C"/>
          </w:tcPr>
          <w:p>
            <w:r>
              <w:rPr>
                <w:b/>
                <w:color w:val="FFFFFF"/>
                <w:sz w:val="19"/>
              </w:rPr>
              <w:t>YoY</w:t>
            </w:r>
          </w:p>
        </w:tc>
        <w:tc>
          <w:tcPr>
            <w:tcW w:type="dxa" w:w="4176"/>
            <w:shd w:val="clear" w:color="auto" w:fill="1A376C"/>
          </w:tcPr>
          <w:p>
            <w:r>
              <w:rPr>
                <w:b/>
                <w:color w:val="FFFFFF"/>
                <w:sz w:val="19"/>
              </w:rPr>
              <w:t>Commentary</w:t>
            </w:r>
          </w:p>
        </w:tc>
      </w:tr>
      <w:tr>
        <w:tc>
          <w:tcPr>
            <w:tcW w:type="dxa" w:w="2880"/>
            <w:shd w:val="clear" w:color="auto" w:fill="F4F6FB"/>
          </w:tcPr>
          <w:p>
            <w:r>
              <w:rPr>
                <w:sz w:val="19"/>
              </w:rPr>
              <w:t>Total Revenue</w:t>
            </w:r>
          </w:p>
        </w:tc>
        <w:tc>
          <w:tcPr>
            <w:tcW w:type="dxa" w:w="1872"/>
            <w:shd w:val="clear" w:color="auto" w:fill="F4F6FB"/>
          </w:tcPr>
          <w:p>
            <w:r>
              <w:rPr>
                <w:sz w:val="19"/>
              </w:rPr>
              <w:t>$38.38B</w:t>
            </w:r>
          </w:p>
        </w:tc>
        <w:tc>
          <w:tcPr>
            <w:tcW w:type="dxa" w:w="1440"/>
            <w:shd w:val="clear" w:color="auto" w:fill="F4F6FB"/>
          </w:tcPr>
          <w:p>
            <w:r>
              <w:rPr>
                <w:sz w:val="19"/>
              </w:rPr>
              <w:t>+8%</w:t>
            </w:r>
          </w:p>
        </w:tc>
        <w:tc>
          <w:tcPr>
            <w:tcW w:type="dxa" w:w="4176"/>
            <w:shd w:val="clear" w:color="auto" w:fill="F4F6FB"/>
          </w:tcPr>
          <w:p>
            <w:r>
              <w:rPr>
                <w:sz w:val="19"/>
              </w:rPr>
              <w:t>Accelerating from FY2025's 5.3% full-year</w:t>
            </w:r>
          </w:p>
        </w:tc>
      </w:tr>
      <w:tr>
        <w:tc>
          <w:tcPr>
            <w:tcW w:type="dxa" w:w="2880"/>
            <w:shd w:val="clear" w:color="auto" w:fill="FFFFFF"/>
          </w:tcPr>
          <w:p>
            <w:r>
              <w:rPr>
                <w:sz w:val="19"/>
              </w:rPr>
              <w:t>Cloud Intelligence Revenue</w:t>
            </w:r>
          </w:p>
        </w:tc>
        <w:tc>
          <w:tcPr>
            <w:tcW w:type="dxa" w:w="1872"/>
            <w:shd w:val="clear" w:color="auto" w:fill="FFFFFF"/>
          </w:tcPr>
          <w:p>
            <w:r>
              <w:rPr>
                <w:sz w:val="19"/>
              </w:rPr>
              <w:t>Not disclosed</w:t>
            </w:r>
          </w:p>
        </w:tc>
        <w:tc>
          <w:tcPr>
            <w:tcW w:type="dxa" w:w="1440"/>
            <w:shd w:val="clear" w:color="auto" w:fill="FFFFFF"/>
          </w:tcPr>
          <w:p>
            <w:r>
              <w:rPr>
                <w:sz w:val="19"/>
              </w:rPr>
              <w:t>+34%</w:t>
            </w:r>
          </w:p>
        </w:tc>
        <w:tc>
          <w:tcPr>
            <w:tcW w:type="dxa" w:w="4176"/>
            <w:shd w:val="clear" w:color="auto" w:fill="FFFFFF"/>
          </w:tcPr>
          <w:p>
            <w:r>
              <w:rPr>
                <w:sz w:val="19"/>
              </w:rPr>
              <w:t>AI workloads triple-digit growth; 9th consecutive qtr</w:t>
            </w:r>
          </w:p>
        </w:tc>
      </w:tr>
      <w:tr>
        <w:tc>
          <w:tcPr>
            <w:tcW w:type="dxa" w:w="2880"/>
            <w:shd w:val="clear" w:color="auto" w:fill="F4F6FB"/>
          </w:tcPr>
          <w:p>
            <w:r>
              <w:rPr>
                <w:sz w:val="19"/>
              </w:rPr>
              <w:t>AI as % Cloud Revenue</w:t>
            </w:r>
          </w:p>
        </w:tc>
        <w:tc>
          <w:tcPr>
            <w:tcW w:type="dxa" w:w="1872"/>
            <w:shd w:val="clear" w:color="auto" w:fill="F4F6FB"/>
          </w:tcPr>
          <w:p>
            <w:r>
              <w:rPr>
                <w:sz w:val="19"/>
              </w:rPr>
              <w:t>&gt;20%</w:t>
            </w:r>
          </w:p>
        </w:tc>
        <w:tc>
          <w:tcPr>
            <w:tcW w:type="dxa" w:w="1440"/>
            <w:shd w:val="clear" w:color="auto" w:fill="F4F6FB"/>
          </w:tcPr>
          <w:p>
            <w:r>
              <w:rPr>
                <w:sz w:val="19"/>
              </w:rPr>
              <w:t>Triple-digit growth</w:t>
            </w:r>
          </w:p>
        </w:tc>
        <w:tc>
          <w:tcPr>
            <w:tcW w:type="dxa" w:w="4176"/>
            <w:shd w:val="clear" w:color="auto" w:fill="F4F6FB"/>
          </w:tcPr>
          <w:p>
            <w:r>
              <w:rPr>
                <w:sz w:val="19"/>
              </w:rPr>
              <w:t>Monetization inflection underway</w:t>
            </w:r>
          </w:p>
        </w:tc>
      </w:tr>
      <w:tr>
        <w:tc>
          <w:tcPr>
            <w:tcW w:type="dxa" w:w="2880"/>
            <w:shd w:val="clear" w:color="auto" w:fill="FFFFFF"/>
          </w:tcPr>
          <w:p>
            <w:r>
              <w:rPr>
                <w:sz w:val="19"/>
              </w:rPr>
              <w:t>CapEx (single quarter)</w:t>
            </w:r>
          </w:p>
        </w:tc>
        <w:tc>
          <w:tcPr>
            <w:tcW w:type="dxa" w:w="1872"/>
            <w:shd w:val="clear" w:color="auto" w:fill="FFFFFF"/>
          </w:tcPr>
          <w:p>
            <w:r>
              <w:rPr>
                <w:sz w:val="19"/>
              </w:rPr>
              <w:t>RMB 31.5B (~$4.4B)</w:t>
            </w:r>
          </w:p>
        </w:tc>
        <w:tc>
          <w:tcPr>
            <w:tcW w:type="dxa" w:w="1440"/>
            <w:shd w:val="clear" w:color="auto" w:fill="FFFFFF"/>
          </w:tcPr>
          <w:p>
            <w:r>
              <w:rPr>
                <w:sz w:val="19"/>
              </w:rPr>
              <w:t>Record high</w:t>
            </w:r>
          </w:p>
        </w:tc>
        <w:tc>
          <w:tcPr>
            <w:tcW w:type="dxa" w:w="4176"/>
            <w:shd w:val="clear" w:color="auto" w:fill="FFFFFF"/>
          </w:tcPr>
          <w:p>
            <w:r>
              <w:rPr>
                <w:sz w:val="19"/>
              </w:rPr>
              <w:t>AI/cloud infra; annualized ~$17-18B</w:t>
            </w:r>
          </w:p>
        </w:tc>
      </w:tr>
      <w:tr>
        <w:tc>
          <w:tcPr>
            <w:tcW w:type="dxa" w:w="2880"/>
            <w:shd w:val="clear" w:color="auto" w:fill="F4F6FB"/>
          </w:tcPr>
          <w:p>
            <w:r>
              <w:rPr>
                <w:sz w:val="19"/>
              </w:rPr>
              <w:t>Free Cash Flow (Q3 alone)</w:t>
            </w:r>
          </w:p>
        </w:tc>
        <w:tc>
          <w:tcPr>
            <w:tcW w:type="dxa" w:w="1872"/>
            <w:shd w:val="clear" w:color="auto" w:fill="F4F6FB"/>
          </w:tcPr>
          <w:p>
            <w:r>
              <w:rPr>
                <w:sz w:val="19"/>
              </w:rPr>
              <w:t>Deeply negative (RMB -21.8B)</w:t>
            </w:r>
          </w:p>
        </w:tc>
        <w:tc>
          <w:tcPr>
            <w:tcW w:type="dxa" w:w="1440"/>
            <w:shd w:val="clear" w:color="auto" w:fill="F4F6FB"/>
          </w:tcPr>
          <w:p>
            <w:r>
              <w:rPr>
                <w:sz w:val="19"/>
              </w:rPr>
              <w:t>Swung from +13.7B</w:t>
            </w:r>
          </w:p>
        </w:tc>
        <w:tc>
          <w:tcPr>
            <w:tcW w:type="dxa" w:w="4176"/>
            <w:shd w:val="clear" w:color="auto" w:fill="F4F6FB"/>
          </w:tcPr>
          <w:p>
            <w:r>
              <w:rPr>
                <w:sz w:val="19"/>
              </w:rPr>
              <w:t>CapEx outpacing OCF temporarily</w:t>
            </w:r>
          </w:p>
        </w:tc>
      </w:tr>
      <w:tr>
        <w:tc>
          <w:tcPr>
            <w:tcW w:type="dxa" w:w="2880"/>
            <w:shd w:val="clear" w:color="auto" w:fill="FFFFFF"/>
          </w:tcPr>
          <w:p>
            <w:r>
              <w:rPr>
                <w:sz w:val="19"/>
              </w:rPr>
              <w:t>Taobao App DAU Growth</w:t>
            </w:r>
          </w:p>
        </w:tc>
        <w:tc>
          <w:tcPr>
            <w:tcW w:type="dxa" w:w="1872"/>
            <w:shd w:val="clear" w:color="auto" w:fill="FFFFFF"/>
          </w:tcPr>
          <w:p>
            <w:r>
              <w:rPr>
                <w:sz w:val="19"/>
              </w:rPr>
              <w:t>+20% Aug 2025</w:t>
            </w:r>
          </w:p>
        </w:tc>
        <w:tc>
          <w:tcPr>
            <w:tcW w:type="dxa" w:w="1440"/>
            <w:shd w:val="clear" w:color="auto" w:fill="FFFFFF"/>
          </w:tcPr>
          <w:p>
            <w:r>
              <w:rPr>
                <w:sz w:val="19"/>
              </w:rPr>
              <w:t>Strong</w:t>
            </w:r>
          </w:p>
        </w:tc>
        <w:tc>
          <w:tcPr>
            <w:tcW w:type="dxa" w:w="4176"/>
            <w:shd w:val="clear" w:color="auto" w:fill="FFFFFF"/>
          </w:tcPr>
          <w:p>
            <w:r>
              <w:rPr>
                <w:sz w:val="19"/>
              </w:rPr>
              <w:t>Instant commerce driving engagement</w:t>
            </w:r>
          </w:p>
        </w:tc>
      </w:tr>
    </w:tbl>
    <w:p>
      <w:pPr>
        <w:spacing w:before="0" w:after="100"/>
      </w:pPr>
      <w:r>
        <w:rPr>
          <w:b w:val="0"/>
          <w:i w:val="0"/>
          <w:color w:val="D97706"/>
          <w:sz w:val="21"/>
        </w:rPr>
        <w:t>Critical observation: FCF turned sharply negative in Q3 FY2026 due to the CapEx surge. This is the primary reason for the 37% stock selloff from the 52-week high. Parallels exist to Amazon (2013–2016) and Google (2022–2023) heavy investment cycles that suppressed near-term FCF before monetizing.</w:t>
      </w:r>
    </w:p>
    <w:p>
      <w:pPr>
        <w:spacing w:before="320" w:after="80"/>
        <w:pBdr>
          <w:bottom w:val="single" w:sz="6" w:space="1" w:color="1A376C"/>
        </w:pBdr>
      </w:pPr>
      <w:r>
        <w:rPr>
          <w:b/>
          <w:color w:val="1A376C"/>
          <w:sz w:val="23"/>
        </w:rPr>
        <w:t>6. FCF TREND &amp; QUALITY CHECK</w:t>
      </w:r>
      <w:r>
        <w:rPr>
          <w:i/>
          <w:color w:val="555555"/>
          <w:sz w:val="18"/>
        </w:rPr>
        <w:t xml:space="preserve">  [Value Investing — Step 3]</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40"/>
            <w:shd w:val="clear" w:color="auto" w:fill="1A376C"/>
          </w:tcPr>
          <w:p>
            <w:r>
              <w:rPr>
                <w:b/>
                <w:color w:val="FFFFFF"/>
                <w:sz w:val="19"/>
              </w:rPr>
              <w:t>Year</w:t>
            </w:r>
          </w:p>
        </w:tc>
        <w:tc>
          <w:tcPr>
            <w:tcW w:type="dxa" w:w="1728"/>
            <w:shd w:val="clear" w:color="auto" w:fill="1A376C"/>
          </w:tcPr>
          <w:p>
            <w:r>
              <w:rPr>
                <w:b/>
                <w:color w:val="FFFFFF"/>
                <w:sz w:val="19"/>
              </w:rPr>
              <w:t>FCF</w:t>
            </w:r>
          </w:p>
        </w:tc>
        <w:tc>
          <w:tcPr>
            <w:tcW w:type="dxa" w:w="1296"/>
            <w:shd w:val="clear" w:color="auto" w:fill="1A376C"/>
          </w:tcPr>
          <w:p>
            <w:r>
              <w:rPr>
                <w:b/>
                <w:color w:val="FFFFFF"/>
                <w:sz w:val="19"/>
              </w:rPr>
              <w:t>YoY</w:t>
            </w:r>
          </w:p>
        </w:tc>
        <w:tc>
          <w:tcPr>
            <w:tcW w:type="dxa" w:w="5904"/>
            <w:shd w:val="clear" w:color="auto" w:fill="1A376C"/>
          </w:tcPr>
          <w:p>
            <w:r>
              <w:rPr>
                <w:b/>
                <w:color w:val="FFFFFF"/>
                <w:sz w:val="19"/>
              </w:rPr>
              <w:t>Commentary</w:t>
            </w:r>
          </w:p>
        </w:tc>
      </w:tr>
      <w:tr>
        <w:tc>
          <w:tcPr>
            <w:tcW w:type="dxa" w:w="1440"/>
            <w:shd w:val="clear" w:color="auto" w:fill="F4F6FB"/>
          </w:tcPr>
          <w:p>
            <w:r>
              <w:rPr>
                <w:sz w:val="19"/>
              </w:rPr>
              <w:t>FY2022</w:t>
            </w:r>
          </w:p>
        </w:tc>
        <w:tc>
          <w:tcPr>
            <w:tcW w:type="dxa" w:w="1728"/>
            <w:shd w:val="clear" w:color="auto" w:fill="F4F6FB"/>
          </w:tcPr>
          <w:p>
            <w:r>
              <w:rPr>
                <w:sz w:val="19"/>
              </w:rPr>
              <w:t>~$23.5B</w:t>
            </w:r>
          </w:p>
        </w:tc>
        <w:tc>
          <w:tcPr>
            <w:tcW w:type="dxa" w:w="1296"/>
            <w:shd w:val="clear" w:color="auto" w:fill="F4F6FB"/>
          </w:tcPr>
          <w:p>
            <w:r>
              <w:rPr>
                <w:sz w:val="19"/>
              </w:rPr>
              <w:t>—</w:t>
            </w:r>
          </w:p>
        </w:tc>
        <w:tc>
          <w:tcPr>
            <w:tcW w:type="dxa" w:w="5904"/>
            <w:shd w:val="clear" w:color="auto" w:fill="F4F6FB"/>
          </w:tcPr>
          <w:p>
            <w:r>
              <w:rPr>
                <w:sz w:val="19"/>
              </w:rPr>
              <w:t>Pre-regulation recovery baseline</w:t>
            </w:r>
          </w:p>
        </w:tc>
      </w:tr>
      <w:tr>
        <w:tc>
          <w:tcPr>
            <w:tcW w:type="dxa" w:w="1440"/>
            <w:shd w:val="clear" w:color="auto" w:fill="FFFFFF"/>
          </w:tcPr>
          <w:p>
            <w:r>
              <w:rPr>
                <w:sz w:val="19"/>
              </w:rPr>
              <w:t>FY2023</w:t>
            </w:r>
          </w:p>
        </w:tc>
        <w:tc>
          <w:tcPr>
            <w:tcW w:type="dxa" w:w="1728"/>
            <w:shd w:val="clear" w:color="auto" w:fill="FFFFFF"/>
          </w:tcPr>
          <w:p>
            <w:r>
              <w:rPr>
                <w:sz w:val="19"/>
              </w:rPr>
              <w:t>~$29.2B</w:t>
            </w:r>
          </w:p>
        </w:tc>
        <w:tc>
          <w:tcPr>
            <w:tcW w:type="dxa" w:w="1296"/>
            <w:shd w:val="clear" w:color="auto" w:fill="FFFFFF"/>
          </w:tcPr>
          <w:p>
            <w:r>
              <w:rPr>
                <w:sz w:val="19"/>
              </w:rPr>
              <w:t>+24%</w:t>
            </w:r>
          </w:p>
        </w:tc>
        <w:tc>
          <w:tcPr>
            <w:tcW w:type="dxa" w:w="5904"/>
            <w:shd w:val="clear" w:color="auto" w:fill="FFFFFF"/>
          </w:tcPr>
          <w:p>
            <w:r>
              <w:rPr>
                <w:sz w:val="19"/>
              </w:rPr>
              <w:t>Peak normalized FCF; minimal CapEx cycle</w:t>
            </w:r>
          </w:p>
        </w:tc>
      </w:tr>
      <w:tr>
        <w:tc>
          <w:tcPr>
            <w:tcW w:type="dxa" w:w="1440"/>
            <w:shd w:val="clear" w:color="auto" w:fill="F4F6FB"/>
          </w:tcPr>
          <w:p>
            <w:r>
              <w:rPr>
                <w:sz w:val="19"/>
              </w:rPr>
              <w:t>FY2024</w:t>
            </w:r>
          </w:p>
        </w:tc>
        <w:tc>
          <w:tcPr>
            <w:tcW w:type="dxa" w:w="1728"/>
            <w:shd w:val="clear" w:color="auto" w:fill="F4F6FB"/>
          </w:tcPr>
          <w:p>
            <w:r>
              <w:rPr>
                <w:sz w:val="19"/>
              </w:rPr>
              <w:t>$20.9B</w:t>
            </w:r>
          </w:p>
        </w:tc>
        <w:tc>
          <w:tcPr>
            <w:tcW w:type="dxa" w:w="1296"/>
            <w:shd w:val="clear" w:color="auto" w:fill="F4F6FB"/>
          </w:tcPr>
          <w:p>
            <w:r>
              <w:rPr>
                <w:sz w:val="19"/>
              </w:rPr>
              <w:t>-28%</w:t>
            </w:r>
          </w:p>
        </w:tc>
        <w:tc>
          <w:tcPr>
            <w:tcW w:type="dxa" w:w="5904"/>
            <w:shd w:val="clear" w:color="auto" w:fill="F4F6FB"/>
          </w:tcPr>
          <w:p>
            <w:r>
              <w:rPr>
                <w:sz w:val="19"/>
              </w:rPr>
              <w:t>Regulatory hangover + macro slowdown; CapEx picks up</w:t>
            </w:r>
          </w:p>
        </w:tc>
      </w:tr>
      <w:tr>
        <w:tc>
          <w:tcPr>
            <w:tcW w:type="dxa" w:w="1440"/>
            <w:shd w:val="clear" w:color="auto" w:fill="FFFFFF"/>
          </w:tcPr>
          <w:p>
            <w:r>
              <w:rPr>
                <w:sz w:val="19"/>
              </w:rPr>
              <w:t>FY2025</w:t>
            </w:r>
          </w:p>
        </w:tc>
        <w:tc>
          <w:tcPr>
            <w:tcW w:type="dxa" w:w="1728"/>
            <w:shd w:val="clear" w:color="auto" w:fill="FFFFFF"/>
          </w:tcPr>
          <w:p>
            <w:r>
              <w:rPr>
                <w:sz w:val="19"/>
              </w:rPr>
              <w:t>$22.87B</w:t>
            </w:r>
          </w:p>
        </w:tc>
        <w:tc>
          <w:tcPr>
            <w:tcW w:type="dxa" w:w="1296"/>
            <w:shd w:val="clear" w:color="auto" w:fill="FFFFFF"/>
          </w:tcPr>
          <w:p>
            <w:r>
              <w:rPr>
                <w:sz w:val="19"/>
              </w:rPr>
              <w:t>+9.4%</w:t>
            </w:r>
          </w:p>
        </w:tc>
        <w:tc>
          <w:tcPr>
            <w:tcW w:type="dxa" w:w="5904"/>
            <w:shd w:val="clear" w:color="auto" w:fill="FFFFFF"/>
          </w:tcPr>
          <w:p>
            <w:r>
              <w:rPr>
                <w:sz w:val="19"/>
              </w:rPr>
              <w:t>Recovery; AI CapEx surge beginning</w:t>
            </w:r>
          </w:p>
        </w:tc>
      </w:tr>
      <w:tr>
        <w:tc>
          <w:tcPr>
            <w:tcW w:type="dxa" w:w="1440"/>
            <w:shd w:val="clear" w:color="auto" w:fill="F4F6FB"/>
          </w:tcPr>
          <w:p>
            <w:r>
              <w:rPr>
                <w:sz w:val="19"/>
              </w:rPr>
              <w:t>FY2026E</w:t>
            </w:r>
          </w:p>
        </w:tc>
        <w:tc>
          <w:tcPr>
            <w:tcW w:type="dxa" w:w="1728"/>
            <w:shd w:val="clear" w:color="auto" w:fill="F4F6FB"/>
          </w:tcPr>
          <w:p>
            <w:r>
              <w:rPr>
                <w:sz w:val="19"/>
              </w:rPr>
              <w:t>$5–10B (est.)</w:t>
            </w:r>
          </w:p>
        </w:tc>
        <w:tc>
          <w:tcPr>
            <w:tcW w:type="dxa" w:w="1296"/>
            <w:shd w:val="clear" w:color="auto" w:fill="F4F6FB"/>
          </w:tcPr>
          <w:p>
            <w:r>
              <w:rPr>
                <w:sz w:val="19"/>
              </w:rPr>
              <w:t>~-60%</w:t>
            </w:r>
          </w:p>
        </w:tc>
        <w:tc>
          <w:tcPr>
            <w:tcW w:type="dxa" w:w="5904"/>
            <w:shd w:val="clear" w:color="auto" w:fill="F4F6FB"/>
          </w:tcPr>
          <w:p>
            <w:r>
              <w:rPr>
                <w:sz w:val="19"/>
              </w:rPr>
              <w:t>Heavy AI/cloud investment year; $17B+ CapEx</w:t>
            </w:r>
          </w:p>
        </w:tc>
      </w:tr>
      <w:tr>
        <w:tc>
          <w:tcPr>
            <w:tcW w:type="dxa" w:w="1440"/>
            <w:shd w:val="clear" w:color="auto" w:fill="FFFFFF"/>
          </w:tcPr>
          <w:p>
            <w:r>
              <w:rPr>
                <w:sz w:val="19"/>
              </w:rPr>
              <w:t>FY2027E</w:t>
            </w:r>
          </w:p>
        </w:tc>
        <w:tc>
          <w:tcPr>
            <w:tcW w:type="dxa" w:w="1728"/>
            <w:shd w:val="clear" w:color="auto" w:fill="FFFFFF"/>
          </w:tcPr>
          <w:p>
            <w:r>
              <w:rPr>
                <w:sz w:val="19"/>
              </w:rPr>
              <w:t>$10–15B (est.)</w:t>
            </w:r>
          </w:p>
        </w:tc>
        <w:tc>
          <w:tcPr>
            <w:tcW w:type="dxa" w:w="1296"/>
            <w:shd w:val="clear" w:color="auto" w:fill="FFFFFF"/>
          </w:tcPr>
          <w:p>
            <w:r>
              <w:rPr>
                <w:sz w:val="19"/>
              </w:rPr>
              <w:t>Recovery</w:t>
            </w:r>
          </w:p>
        </w:tc>
        <w:tc>
          <w:tcPr>
            <w:tcW w:type="dxa" w:w="5904"/>
            <w:shd w:val="clear" w:color="auto" w:fill="FFFFFF"/>
          </w:tcPr>
          <w:p>
            <w:r>
              <w:rPr>
                <w:sz w:val="19"/>
              </w:rPr>
              <w:t>CapEx levels off; cloud revenues ramp</w:t>
            </w:r>
          </w:p>
        </w:tc>
      </w:tr>
      <w:tr>
        <w:tc>
          <w:tcPr>
            <w:tcW w:type="dxa" w:w="1440"/>
            <w:shd w:val="clear" w:color="auto" w:fill="F4F6FB"/>
          </w:tcPr>
          <w:p>
            <w:r>
              <w:rPr>
                <w:sz w:val="19"/>
              </w:rPr>
              <w:t>FY2028E</w:t>
            </w:r>
          </w:p>
        </w:tc>
        <w:tc>
          <w:tcPr>
            <w:tcW w:type="dxa" w:w="1728"/>
            <w:shd w:val="clear" w:color="auto" w:fill="F4F6FB"/>
          </w:tcPr>
          <w:p>
            <w:r>
              <w:rPr>
                <w:sz w:val="19"/>
              </w:rPr>
              <w:t>$18–25B (est.)</w:t>
            </w:r>
          </w:p>
        </w:tc>
        <w:tc>
          <w:tcPr>
            <w:tcW w:type="dxa" w:w="1296"/>
            <w:shd w:val="clear" w:color="auto" w:fill="F4F6FB"/>
          </w:tcPr>
          <w:p>
            <w:r>
              <w:rPr>
                <w:sz w:val="19"/>
              </w:rPr>
              <w:t>Growth</w:t>
            </w:r>
          </w:p>
        </w:tc>
        <w:tc>
          <w:tcPr>
            <w:tcW w:type="dxa" w:w="5904"/>
            <w:shd w:val="clear" w:color="auto" w:fill="F4F6FB"/>
          </w:tcPr>
          <w:p>
            <w:r>
              <w:rPr>
                <w:sz w:val="19"/>
              </w:rPr>
              <w:t>Cloud monetization; CapEx moderates per mgmt</w:t>
            </w:r>
          </w:p>
        </w:tc>
      </w:tr>
      <w:tr>
        <w:tc>
          <w:tcPr>
            <w:tcW w:type="dxa" w:w="1440"/>
            <w:shd w:val="clear" w:color="auto" w:fill="FFFFFF"/>
          </w:tcPr>
          <w:p>
            <w:r>
              <w:rPr>
                <w:sz w:val="19"/>
              </w:rPr>
              <w:t>FY2029E+</w:t>
            </w:r>
          </w:p>
        </w:tc>
        <w:tc>
          <w:tcPr>
            <w:tcW w:type="dxa" w:w="1728"/>
            <w:shd w:val="clear" w:color="auto" w:fill="FFFFFF"/>
          </w:tcPr>
          <w:p>
            <w:r>
              <w:rPr>
                <w:sz w:val="19"/>
              </w:rPr>
              <w:t>$28–40B+ (est.)</w:t>
            </w:r>
          </w:p>
        </w:tc>
        <w:tc>
          <w:tcPr>
            <w:tcW w:type="dxa" w:w="1296"/>
            <w:shd w:val="clear" w:color="auto" w:fill="FFFFFF"/>
          </w:tcPr>
          <w:p>
            <w:r>
              <w:rPr>
                <w:sz w:val="19"/>
              </w:rPr>
              <w:t>Strong growth</w:t>
            </w:r>
          </w:p>
        </w:tc>
        <w:tc>
          <w:tcPr>
            <w:tcW w:type="dxa" w:w="5904"/>
            <w:shd w:val="clear" w:color="auto" w:fill="FFFFFF"/>
          </w:tcPr>
          <w:p>
            <w:r>
              <w:rPr>
                <w:sz w:val="19"/>
              </w:rPr>
              <w:t>Full AI/cloud revenue contribution</w:t>
            </w:r>
          </w:p>
        </w:tc>
      </w:tr>
    </w:tbl>
    <w:tbl>
      <w:tblPr>
        <w:tblStyle w:val="TableGrid"/>
        <w:tblW w:type="auto" w:w="0"/>
        <w:jc w:val="center"/>
        <w:tblLook w:firstColumn="1" w:firstRow="1" w:lastColumn="0" w:lastRow="0" w:noHBand="0" w:noVBand="1" w:val="04A0"/>
      </w:tblPr>
      <w:tblGrid>
        <w:gridCol w:w="3024"/>
        <w:gridCol w:w="3024"/>
        <w:gridCol w:w="3024"/>
      </w:tblGrid>
      <w:tr>
        <w:tc>
          <w:tcPr>
            <w:tcW w:type="dxa" w:w="3168"/>
            <w:shd w:val="clear" w:color="auto" w:fill="1A376C"/>
          </w:tcPr>
          <w:p>
            <w:r>
              <w:rPr>
                <w:b/>
                <w:color w:val="FFFFFF"/>
                <w:sz w:val="19"/>
              </w:rPr>
              <w:t>Quality Check</w:t>
            </w:r>
          </w:p>
        </w:tc>
        <w:tc>
          <w:tcPr>
            <w:tcW w:type="dxa" w:w="3600"/>
            <w:shd w:val="clear" w:color="auto" w:fill="1A376C"/>
          </w:tcPr>
          <w:p>
            <w:r>
              <w:rPr>
                <w:b/>
                <w:color w:val="FFFFFF"/>
                <w:sz w:val="19"/>
              </w:rPr>
              <w:t>Calculation</w:t>
            </w:r>
          </w:p>
        </w:tc>
        <w:tc>
          <w:tcPr>
            <w:tcW w:type="dxa" w:w="3024"/>
            <w:shd w:val="clear" w:color="auto" w:fill="1A376C"/>
          </w:tcPr>
          <w:p>
            <w:r>
              <w:rPr>
                <w:b/>
                <w:color w:val="FFFFFF"/>
                <w:sz w:val="19"/>
              </w:rPr>
              <w:t>Verdict</w:t>
            </w:r>
          </w:p>
        </w:tc>
      </w:tr>
      <w:tr>
        <w:tc>
          <w:tcPr>
            <w:tcW w:type="dxa" w:w="3168"/>
            <w:shd w:val="clear" w:color="auto" w:fill="F4F6FB"/>
          </w:tcPr>
          <w:p>
            <w:r>
              <w:rPr>
                <w:sz w:val="19"/>
              </w:rPr>
              <w:t>FCF / GAAP Net Income</w:t>
            </w:r>
          </w:p>
        </w:tc>
        <w:tc>
          <w:tcPr>
            <w:tcW w:type="dxa" w:w="3600"/>
            <w:shd w:val="clear" w:color="auto" w:fill="F4F6FB"/>
          </w:tcPr>
          <w:p>
            <w:r>
              <w:rPr>
                <w:sz w:val="19"/>
              </w:rPr>
              <w:t>$22.87B / $17.9B = 1.28x</w:t>
            </w:r>
          </w:p>
        </w:tc>
        <w:tc>
          <w:tcPr>
            <w:tcW w:type="dxa" w:w="3024"/>
            <w:shd w:val="clear" w:color="auto" w:fill="F4F6FB"/>
          </w:tcPr>
          <w:p>
            <w:r>
              <w:rPr>
                <w:sz w:val="19"/>
              </w:rPr>
              <w:t>✓ Strong cash conversion</w:t>
            </w:r>
          </w:p>
        </w:tc>
      </w:tr>
      <w:tr>
        <w:tc>
          <w:tcPr>
            <w:tcW w:type="dxa" w:w="3168"/>
            <w:shd w:val="clear" w:color="auto" w:fill="FFFFFF"/>
          </w:tcPr>
          <w:p>
            <w:r>
              <w:rPr>
                <w:sz w:val="19"/>
              </w:rPr>
              <w:t>CapEx / Revenue (FY2025)</w:t>
            </w:r>
          </w:p>
        </w:tc>
        <w:tc>
          <w:tcPr>
            <w:tcW w:type="dxa" w:w="3600"/>
            <w:shd w:val="clear" w:color="auto" w:fill="FFFFFF"/>
          </w:tcPr>
          <w:p>
            <w:r>
              <w:rPr>
                <w:sz w:val="19"/>
              </w:rPr>
              <w:t>~$5-6B / $137.3B = ~4%</w:t>
            </w:r>
          </w:p>
        </w:tc>
        <w:tc>
          <w:tcPr>
            <w:tcW w:type="dxa" w:w="3024"/>
            <w:shd w:val="clear" w:color="auto" w:fill="FFFFFF"/>
          </w:tcPr>
          <w:p>
            <w:r>
              <w:rPr>
                <w:sz w:val="19"/>
              </w:rPr>
              <w:t>✓ Moderate — but surging to ~13% in FY2026</w:t>
            </w:r>
          </w:p>
        </w:tc>
      </w:tr>
      <w:tr>
        <w:tc>
          <w:tcPr>
            <w:tcW w:type="dxa" w:w="3168"/>
            <w:shd w:val="clear" w:color="auto" w:fill="F4F6FB"/>
          </w:tcPr>
          <w:p>
            <w:r>
              <w:rPr>
                <w:sz w:val="19"/>
              </w:rPr>
              <w:t>Current Ratio</w:t>
            </w:r>
          </w:p>
        </w:tc>
        <w:tc>
          <w:tcPr>
            <w:tcW w:type="dxa" w:w="3600"/>
            <w:shd w:val="clear" w:color="auto" w:fill="F4F6FB"/>
          </w:tcPr>
          <w:p>
            <w:r>
              <w:rPr>
                <w:sz w:val="19"/>
              </w:rPr>
              <w:t>1.55x</w:t>
            </w:r>
          </w:p>
        </w:tc>
        <w:tc>
          <w:tcPr>
            <w:tcW w:type="dxa" w:w="3024"/>
            <w:shd w:val="clear" w:color="auto" w:fill="F4F6FB"/>
          </w:tcPr>
          <w:p>
            <w:r>
              <w:rPr>
                <w:sz w:val="19"/>
              </w:rPr>
              <w:t>✓ Adequate liquidity</w:t>
            </w:r>
          </w:p>
        </w:tc>
      </w:tr>
      <w:tr>
        <w:tc>
          <w:tcPr>
            <w:tcW w:type="dxa" w:w="3168"/>
            <w:shd w:val="clear" w:color="auto" w:fill="FFFFFF"/>
          </w:tcPr>
          <w:p>
            <w:r>
              <w:rPr>
                <w:sz w:val="19"/>
              </w:rPr>
              <w:t>Debt-to-Equity</w:t>
            </w:r>
          </w:p>
        </w:tc>
        <w:tc>
          <w:tcPr>
            <w:tcW w:type="dxa" w:w="3600"/>
            <w:shd w:val="clear" w:color="auto" w:fill="FFFFFF"/>
          </w:tcPr>
          <w:p>
            <w:r>
              <w:rPr>
                <w:sz w:val="19"/>
              </w:rPr>
              <w:t>0.23x</w:t>
            </w:r>
          </w:p>
        </w:tc>
        <w:tc>
          <w:tcPr>
            <w:tcW w:type="dxa" w:w="3024"/>
            <w:shd w:val="clear" w:color="auto" w:fill="FFFFFF"/>
          </w:tcPr>
          <w:p>
            <w:r>
              <w:rPr>
                <w:sz w:val="19"/>
              </w:rPr>
              <w:t>✓ Conservative balance sheet</w:t>
            </w:r>
          </w:p>
        </w:tc>
      </w:tr>
      <w:tr>
        <w:tc>
          <w:tcPr>
            <w:tcW w:type="dxa" w:w="3168"/>
            <w:shd w:val="clear" w:color="auto" w:fill="F4F6FB"/>
          </w:tcPr>
          <w:p>
            <w:r>
              <w:rPr>
                <w:sz w:val="19"/>
              </w:rPr>
              <w:t>Net Cash per ADS</w:t>
            </w:r>
          </w:p>
        </w:tc>
        <w:tc>
          <w:tcPr>
            <w:tcW w:type="dxa" w:w="3600"/>
            <w:shd w:val="clear" w:color="auto" w:fill="F4F6FB"/>
          </w:tcPr>
          <w:p>
            <w:r>
              <w:rPr>
                <w:sz w:val="19"/>
              </w:rPr>
              <w:t>~$20.2/ADS (16.6% of current price)</w:t>
            </w:r>
          </w:p>
        </w:tc>
        <w:tc>
          <w:tcPr>
            <w:tcW w:type="dxa" w:w="3024"/>
            <w:shd w:val="clear" w:color="auto" w:fill="F4F6FB"/>
          </w:tcPr>
          <w:p>
            <w:r>
              <w:rPr>
                <w:sz w:val="19"/>
              </w:rPr>
              <w:t>✓ Meaningful cash support</w:t>
            </w:r>
          </w:p>
        </w:tc>
      </w:tr>
      <w:tr>
        <w:tc>
          <w:tcPr>
            <w:tcW w:type="dxa" w:w="3168"/>
            <w:shd w:val="clear" w:color="auto" w:fill="FFFFFF"/>
          </w:tcPr>
          <w:p>
            <w:r>
              <w:rPr>
                <w:sz w:val="19"/>
              </w:rPr>
              <w:t>FCF CAGR (FY2022–FY2025)</w:t>
            </w:r>
          </w:p>
        </w:tc>
        <w:tc>
          <w:tcPr>
            <w:tcW w:type="dxa" w:w="3600"/>
            <w:shd w:val="clear" w:color="auto" w:fill="FFFFFF"/>
          </w:tcPr>
          <w:p>
            <w:r>
              <w:rPr>
                <w:sz w:val="19"/>
              </w:rPr>
              <w:t>($22.87B/$23.5B)^(1/3)–1 = –0.9%</w:t>
            </w:r>
          </w:p>
        </w:tc>
        <w:tc>
          <w:tcPr>
            <w:tcW w:type="dxa" w:w="3024"/>
            <w:shd w:val="clear" w:color="auto" w:fill="FFFFFF"/>
          </w:tcPr>
          <w:p>
            <w:r>
              <w:rPr>
                <w:sz w:val="19"/>
              </w:rPr>
              <w:t>⚠ Essentially flat 3-yr; CapEx-era ahead</w:t>
            </w:r>
          </w:p>
        </w:tc>
      </w:tr>
    </w:tbl>
    <w:p>
      <w:pPr>
        <w:spacing w:before="320" w:after="80"/>
        <w:pBdr>
          <w:bottom w:val="single" w:sz="6" w:space="1" w:color="1A376C"/>
        </w:pBdr>
      </w:pPr>
      <w:r>
        <w:rPr>
          <w:b/>
          <w:color w:val="1A376C"/>
          <w:sz w:val="23"/>
        </w:rPr>
        <w:t>7. DCF ASSUMPTIONS &amp; FULL DISCLOSURE</w:t>
      </w:r>
      <w:r>
        <w:rPr>
          <w:i/>
          <w:color w:val="555555"/>
          <w:sz w:val="18"/>
        </w:rPr>
        <w:t xml:space="preserve">  [Value Investing Rule 2 — CRITICAL]</w:t>
      </w:r>
    </w:p>
    <w:p>
      <w:pPr>
        <w:spacing w:before="0" w:after="100"/>
      </w:pPr>
      <w:r>
        <w:rPr>
          <w:b/>
          <w:i w:val="0"/>
          <w:sz w:val="21"/>
        </w:rPr>
        <w:t>A. Hard data from FY2025 annual report (high confidence):</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val="clear" w:color="auto" w:fill="1A376C"/>
          </w:tcPr>
          <w:p>
            <w:r>
              <w:rPr>
                <w:b/>
                <w:color w:val="FFFFFF"/>
                <w:sz w:val="19"/>
              </w:rPr>
              <w:t>Item</w:t>
            </w:r>
          </w:p>
        </w:tc>
        <w:tc>
          <w:tcPr>
            <w:tcW w:type="dxa" w:w="2304"/>
            <w:shd w:val="clear" w:color="auto" w:fill="1A376C"/>
          </w:tcPr>
          <w:p>
            <w:r>
              <w:rPr>
                <w:b/>
                <w:color w:val="FFFFFF"/>
                <w:sz w:val="19"/>
              </w:rPr>
              <w:t>Value</w:t>
            </w:r>
          </w:p>
        </w:tc>
        <w:tc>
          <w:tcPr>
            <w:tcW w:type="dxa" w:w="4032"/>
            <w:shd w:val="clear" w:color="auto" w:fill="1A376C"/>
          </w:tcPr>
          <w:p>
            <w:r>
              <w:rPr>
                <w:b/>
                <w:color w:val="FFFFFF"/>
                <w:sz w:val="19"/>
              </w:rPr>
              <w:t>Source</w:t>
            </w:r>
          </w:p>
        </w:tc>
      </w:tr>
      <w:tr>
        <w:tc>
          <w:tcPr>
            <w:tcW w:type="dxa" w:w="3168"/>
            <w:shd w:val="clear" w:color="auto" w:fill="F4F6FB"/>
          </w:tcPr>
          <w:p>
            <w:r>
              <w:rPr>
                <w:sz w:val="19"/>
              </w:rPr>
              <w:t>FY2025 Revenue</w:t>
            </w:r>
          </w:p>
        </w:tc>
        <w:tc>
          <w:tcPr>
            <w:tcW w:type="dxa" w:w="2304"/>
            <w:shd w:val="clear" w:color="auto" w:fill="F4F6FB"/>
          </w:tcPr>
          <w:p>
            <w:r>
              <w:rPr>
                <w:sz w:val="19"/>
              </w:rPr>
              <w:t>$137.3B</w:t>
            </w:r>
          </w:p>
        </w:tc>
        <w:tc>
          <w:tcPr>
            <w:tcW w:type="dxa" w:w="4032"/>
            <w:shd w:val="clear" w:color="auto" w:fill="F4F6FB"/>
          </w:tcPr>
          <w:p>
            <w:r>
              <w:rPr>
                <w:sz w:val="19"/>
              </w:rPr>
              <w:t>Alibaba FY2025 annual report (May 15, 2025)</w:t>
            </w:r>
          </w:p>
        </w:tc>
      </w:tr>
      <w:tr>
        <w:tc>
          <w:tcPr>
            <w:tcW w:type="dxa" w:w="3168"/>
            <w:shd w:val="clear" w:color="auto" w:fill="FFFFFF"/>
          </w:tcPr>
          <w:p>
            <w:r>
              <w:rPr>
                <w:sz w:val="19"/>
              </w:rPr>
              <w:t>FY2025 GAAP Net Income</w:t>
            </w:r>
          </w:p>
        </w:tc>
        <w:tc>
          <w:tcPr>
            <w:tcW w:type="dxa" w:w="2304"/>
            <w:shd w:val="clear" w:color="auto" w:fill="FFFFFF"/>
          </w:tcPr>
          <w:p>
            <w:r>
              <w:rPr>
                <w:sz w:val="19"/>
              </w:rPr>
              <w:t>$17.9B</w:t>
            </w:r>
          </w:p>
        </w:tc>
        <w:tc>
          <w:tcPr>
            <w:tcW w:type="dxa" w:w="4032"/>
            <w:shd w:val="clear" w:color="auto" w:fill="FFFFFF"/>
          </w:tcPr>
          <w:p>
            <w:r>
              <w:rPr>
                <w:sz w:val="19"/>
              </w:rPr>
              <w:t>Annual report — EPS $5.22/ADS</w:t>
            </w:r>
          </w:p>
        </w:tc>
      </w:tr>
      <w:tr>
        <w:tc>
          <w:tcPr>
            <w:tcW w:type="dxa" w:w="3168"/>
            <w:shd w:val="clear" w:color="auto" w:fill="F4F6FB"/>
          </w:tcPr>
          <w:p>
            <w:r>
              <w:rPr>
                <w:sz w:val="19"/>
              </w:rPr>
              <w:t>FY2025 FCF</w:t>
            </w:r>
          </w:p>
        </w:tc>
        <w:tc>
          <w:tcPr>
            <w:tcW w:type="dxa" w:w="2304"/>
            <w:shd w:val="clear" w:color="auto" w:fill="F4F6FB"/>
          </w:tcPr>
          <w:p>
            <w:r>
              <w:rPr>
                <w:sz w:val="19"/>
              </w:rPr>
              <w:t>$22.87B</w:t>
            </w:r>
          </w:p>
        </w:tc>
        <w:tc>
          <w:tcPr>
            <w:tcW w:type="dxa" w:w="4032"/>
            <w:shd w:val="clear" w:color="auto" w:fill="F4F6FB"/>
          </w:tcPr>
          <w:p>
            <w:r>
              <w:rPr>
                <w:sz w:val="19"/>
              </w:rPr>
              <w:t>MacroTrends / annual cash flow statement</w:t>
            </w:r>
          </w:p>
        </w:tc>
      </w:tr>
      <w:tr>
        <w:tc>
          <w:tcPr>
            <w:tcW w:type="dxa" w:w="3168"/>
            <w:shd w:val="clear" w:color="auto" w:fill="FFFFFF"/>
          </w:tcPr>
          <w:p>
            <w:r>
              <w:rPr>
                <w:sz w:val="19"/>
              </w:rPr>
              <w:t>Net Cash (FY2025)</w:t>
            </w:r>
          </w:p>
        </w:tc>
        <w:tc>
          <w:tcPr>
            <w:tcW w:type="dxa" w:w="2304"/>
            <w:shd w:val="clear" w:color="auto" w:fill="FFFFFF"/>
          </w:tcPr>
          <w:p>
            <w:r>
              <w:rPr>
                <w:sz w:val="19"/>
              </w:rPr>
              <w:t>~$49B</w:t>
            </w:r>
          </w:p>
        </w:tc>
        <w:tc>
          <w:tcPr>
            <w:tcW w:type="dxa" w:w="4032"/>
            <w:shd w:val="clear" w:color="auto" w:fill="FFFFFF"/>
          </w:tcPr>
          <w:p>
            <w:r>
              <w:rPr>
                <w:sz w:val="19"/>
              </w:rPr>
              <w:t>Balance sheet (cash + ST investments – debt)</w:t>
            </w:r>
          </w:p>
        </w:tc>
      </w:tr>
      <w:tr>
        <w:tc>
          <w:tcPr>
            <w:tcW w:type="dxa" w:w="3168"/>
            <w:shd w:val="clear" w:color="auto" w:fill="F4F6FB"/>
          </w:tcPr>
          <w:p>
            <w:r>
              <w:rPr>
                <w:sz w:val="19"/>
              </w:rPr>
              <w:t>ADSs Outstanding</w:t>
            </w:r>
          </w:p>
        </w:tc>
        <w:tc>
          <w:tcPr>
            <w:tcW w:type="dxa" w:w="2304"/>
            <w:shd w:val="clear" w:color="auto" w:fill="F4F6FB"/>
          </w:tcPr>
          <w:p>
            <w:r>
              <w:rPr>
                <w:sz w:val="19"/>
              </w:rPr>
              <w:t>~2.43B</w:t>
            </w:r>
          </w:p>
        </w:tc>
        <w:tc>
          <w:tcPr>
            <w:tcW w:type="dxa" w:w="4032"/>
            <w:shd w:val="clear" w:color="auto" w:fill="F4F6FB"/>
          </w:tcPr>
          <w:p>
            <w:r>
              <w:rPr>
                <w:sz w:val="19"/>
              </w:rPr>
              <w:t>Company filings</w:t>
            </w:r>
          </w:p>
        </w:tc>
      </w:tr>
      <w:tr>
        <w:tc>
          <w:tcPr>
            <w:tcW w:type="dxa" w:w="3168"/>
            <w:shd w:val="clear" w:color="auto" w:fill="FFFFFF"/>
          </w:tcPr>
          <w:p>
            <w:r>
              <w:rPr>
                <w:sz w:val="19"/>
              </w:rPr>
              <w:t>Committed CapEx (3-year)</w:t>
            </w:r>
          </w:p>
        </w:tc>
        <w:tc>
          <w:tcPr>
            <w:tcW w:type="dxa" w:w="2304"/>
            <w:shd w:val="clear" w:color="auto" w:fill="FFFFFF"/>
          </w:tcPr>
          <w:p>
            <w:r>
              <w:rPr>
                <w:sz w:val="19"/>
              </w:rPr>
              <w:t>~$53B ($17.7B/yr average)</w:t>
            </w:r>
          </w:p>
        </w:tc>
        <w:tc>
          <w:tcPr>
            <w:tcW w:type="dxa" w:w="4032"/>
            <w:shd w:val="clear" w:color="auto" w:fill="FFFFFF"/>
          </w:tcPr>
          <w:p>
            <w:r>
              <w:rPr>
                <w:sz w:val="19"/>
              </w:rPr>
              <w:t>Bloomberg / Alibaba announcements Feb 2025</w:t>
            </w:r>
          </w:p>
        </w:tc>
      </w:tr>
      <w:tr>
        <w:tc>
          <w:tcPr>
            <w:tcW w:type="dxa" w:w="3168"/>
            <w:shd w:val="clear" w:color="auto" w:fill="F4F6FB"/>
          </w:tcPr>
          <w:p>
            <w:r>
              <w:rPr>
                <w:sz w:val="19"/>
              </w:rPr>
              <w:t>Q3 FY2026 CapEx</w:t>
            </w:r>
          </w:p>
        </w:tc>
        <w:tc>
          <w:tcPr>
            <w:tcW w:type="dxa" w:w="2304"/>
            <w:shd w:val="clear" w:color="auto" w:fill="F4F6FB"/>
          </w:tcPr>
          <w:p>
            <w:r>
              <w:rPr>
                <w:sz w:val="19"/>
              </w:rPr>
              <w:t>RMB 31.5B (~$4.4B in 1 quarter)</w:t>
            </w:r>
          </w:p>
        </w:tc>
        <w:tc>
          <w:tcPr>
            <w:tcW w:type="dxa" w:w="4032"/>
            <w:shd w:val="clear" w:color="auto" w:fill="F4F6FB"/>
          </w:tcPr>
          <w:p>
            <w:r>
              <w:rPr>
                <w:sz w:val="19"/>
              </w:rPr>
              <w:t>Q3 FY2026 earnings call</w:t>
            </w:r>
          </w:p>
        </w:tc>
      </w:tr>
    </w:tbl>
    <w:p>
      <w:pPr>
        <w:spacing w:before="160" w:after="100"/>
      </w:pPr>
      <w:r>
        <w:rPr>
          <w:b/>
          <w:i w:val="0"/>
          <w:sz w:val="21"/>
        </w:rPr>
        <w:t>B. Subjective DCF assumptions — Material uncertainty, read carefully:</w:t>
      </w:r>
    </w:p>
    <w:tbl>
      <w:tblPr>
        <w:tblStyle w:val="TableGrid"/>
        <w:tblW w:type="auto" w:w="0"/>
        <w:jc w:val="center"/>
        <w:tblLook w:firstColumn="1" w:firstRow="1" w:lastColumn="0" w:lastRow="0" w:noHBand="0" w:noVBand="1" w:val="04A0"/>
      </w:tblPr>
      <w:tblGrid>
        <w:gridCol w:w="3024"/>
        <w:gridCol w:w="3024"/>
        <w:gridCol w:w="3024"/>
      </w:tblGrid>
      <w:tr>
        <w:tc>
          <w:tcPr>
            <w:tcW w:type="dxa" w:w="2880"/>
            <w:shd w:val="clear" w:color="auto" w:fill="1A376C"/>
          </w:tcPr>
          <w:p>
            <w:r>
              <w:rPr>
                <w:b/>
                <w:color w:val="FFFFFF"/>
                <w:sz w:val="19"/>
              </w:rPr>
              <w:t>Parameter</w:t>
            </w:r>
          </w:p>
        </w:tc>
        <w:tc>
          <w:tcPr>
            <w:tcW w:type="dxa" w:w="2448"/>
            <w:shd w:val="clear" w:color="auto" w:fill="1A376C"/>
          </w:tcPr>
          <w:p>
            <w:r>
              <w:rPr>
                <w:b/>
                <w:color w:val="FFFFFF"/>
                <w:sz w:val="19"/>
              </w:rPr>
              <w:t>Value</w:t>
            </w:r>
          </w:p>
        </w:tc>
        <w:tc>
          <w:tcPr>
            <w:tcW w:type="dxa" w:w="4032"/>
            <w:shd w:val="clear" w:color="auto" w:fill="1A376C"/>
          </w:tcPr>
          <w:p>
            <w:r>
              <w:rPr>
                <w:b/>
                <w:color w:val="FFFFFF"/>
                <w:sz w:val="19"/>
              </w:rPr>
              <w:t>Rationale</w:t>
            </w:r>
          </w:p>
        </w:tc>
      </w:tr>
      <w:tr>
        <w:tc>
          <w:tcPr>
            <w:tcW w:type="dxa" w:w="2880"/>
            <w:shd w:val="clear" w:color="auto" w:fill="F4F6FB"/>
          </w:tcPr>
          <w:p>
            <w:r>
              <w:rPr>
                <w:sz w:val="19"/>
              </w:rPr>
              <w:t>WACC — Base</w:t>
            </w:r>
          </w:p>
        </w:tc>
        <w:tc>
          <w:tcPr>
            <w:tcW w:type="dxa" w:w="2448"/>
            <w:shd w:val="clear" w:color="auto" w:fill="F4F6FB"/>
          </w:tcPr>
          <w:p>
            <w:r>
              <w:rPr>
                <w:sz w:val="19"/>
              </w:rPr>
              <w:t>11%</w:t>
            </w:r>
          </w:p>
        </w:tc>
        <w:tc>
          <w:tcPr>
            <w:tcW w:type="dxa" w:w="4032"/>
            <w:shd w:val="clear" w:color="auto" w:fill="F4F6FB"/>
          </w:tcPr>
          <w:p>
            <w:r>
              <w:rPr>
                <w:sz w:val="19"/>
              </w:rPr>
              <w:t>US risk-free 5.5% + equity risk premium 4.5% + China regulatory/VIE risk 1%</w:t>
            </w:r>
          </w:p>
        </w:tc>
      </w:tr>
      <w:tr>
        <w:tc>
          <w:tcPr>
            <w:tcW w:type="dxa" w:w="2880"/>
            <w:shd w:val="clear" w:color="auto" w:fill="FFFFFF"/>
          </w:tcPr>
          <w:p>
            <w:r>
              <w:rPr>
                <w:sz w:val="19"/>
              </w:rPr>
              <w:t>WACC — Bear</w:t>
            </w:r>
          </w:p>
        </w:tc>
        <w:tc>
          <w:tcPr>
            <w:tcW w:type="dxa" w:w="2448"/>
            <w:shd w:val="clear" w:color="auto" w:fill="FFFFFF"/>
          </w:tcPr>
          <w:p>
            <w:r>
              <w:rPr>
                <w:sz w:val="19"/>
              </w:rPr>
              <w:t>13%</w:t>
            </w:r>
          </w:p>
        </w:tc>
        <w:tc>
          <w:tcPr>
            <w:tcW w:type="dxa" w:w="4032"/>
            <w:shd w:val="clear" w:color="auto" w:fill="FFFFFF"/>
          </w:tcPr>
          <w:p>
            <w:r>
              <w:rPr>
                <w:sz w:val="19"/>
              </w:rPr>
              <w:t>Full China risk pricing: delisting risk, VIE structure failure, antitrust</w:t>
            </w:r>
          </w:p>
        </w:tc>
      </w:tr>
      <w:tr>
        <w:tc>
          <w:tcPr>
            <w:tcW w:type="dxa" w:w="2880"/>
            <w:shd w:val="clear" w:color="auto" w:fill="F4F6FB"/>
          </w:tcPr>
          <w:p>
            <w:r>
              <w:rPr>
                <w:sz w:val="19"/>
              </w:rPr>
              <w:t>WACC — Bull</w:t>
            </w:r>
          </w:p>
        </w:tc>
        <w:tc>
          <w:tcPr>
            <w:tcW w:type="dxa" w:w="2448"/>
            <w:shd w:val="clear" w:color="auto" w:fill="F4F6FB"/>
          </w:tcPr>
          <w:p>
            <w:r>
              <w:rPr>
                <w:sz w:val="19"/>
              </w:rPr>
              <w:t>9%</w:t>
            </w:r>
          </w:p>
        </w:tc>
        <w:tc>
          <w:tcPr>
            <w:tcW w:type="dxa" w:w="4032"/>
            <w:shd w:val="clear" w:color="auto" w:fill="F4F6FB"/>
          </w:tcPr>
          <w:p>
            <w:r>
              <w:rPr>
                <w:sz w:val="19"/>
              </w:rPr>
              <w:t>Geopolitical risk eases; US-China trade deal; cloud re-rated like AWS</w:t>
            </w:r>
          </w:p>
        </w:tc>
      </w:tr>
      <w:tr>
        <w:tc>
          <w:tcPr>
            <w:tcW w:type="dxa" w:w="2880"/>
            <w:shd w:val="clear" w:color="auto" w:fill="FFFFFF"/>
          </w:tcPr>
          <w:p>
            <w:r>
              <w:rPr>
                <w:sz w:val="19"/>
              </w:rPr>
              <w:t>CapEx Cycle Assumption</w:t>
            </w:r>
          </w:p>
        </w:tc>
        <w:tc>
          <w:tcPr>
            <w:tcW w:type="dxa" w:w="2448"/>
            <w:shd w:val="clear" w:color="auto" w:fill="FFFFFF"/>
          </w:tcPr>
          <w:p>
            <w:r>
              <w:rPr>
                <w:sz w:val="19"/>
              </w:rPr>
              <w:t>$17B/yr for 3 yrs (FY2026-28), then $8B/yr maintenance</w:t>
            </w:r>
          </w:p>
        </w:tc>
        <w:tc>
          <w:tcPr>
            <w:tcW w:type="dxa" w:w="4032"/>
            <w:shd w:val="clear" w:color="auto" w:fill="FFFFFF"/>
          </w:tcPr>
          <w:p>
            <w:r>
              <w:rPr>
                <w:sz w:val="19"/>
              </w:rPr>
              <w:t>Based on $53B commitment and recent Q3 run-rate</w:t>
            </w:r>
          </w:p>
        </w:tc>
      </w:tr>
      <w:tr>
        <w:tc>
          <w:tcPr>
            <w:tcW w:type="dxa" w:w="2880"/>
            <w:shd w:val="clear" w:color="auto" w:fill="F4F6FB"/>
          </w:tcPr>
          <w:p>
            <w:r>
              <w:rPr>
                <w:sz w:val="19"/>
              </w:rPr>
              <w:t>FCF Y1-3 (FY2026-28)</w:t>
            </w:r>
          </w:p>
        </w:tc>
        <w:tc>
          <w:tcPr>
            <w:tcW w:type="dxa" w:w="2448"/>
            <w:shd w:val="clear" w:color="auto" w:fill="F4F6FB"/>
          </w:tcPr>
          <w:p>
            <w:r>
              <w:rPr>
                <w:sz w:val="19"/>
              </w:rPr>
              <w:t>$10B→$13B→$17B</w:t>
            </w:r>
          </w:p>
        </w:tc>
        <w:tc>
          <w:tcPr>
            <w:tcW w:type="dxa" w:w="4032"/>
            <w:shd w:val="clear" w:color="auto" w:fill="F4F6FB"/>
          </w:tcPr>
          <w:p>
            <w:r>
              <w:rPr>
                <w:sz w:val="19"/>
              </w:rPr>
              <w:t>OCF ~$27-30B minus elevated CapEx ~$17-18B</w:t>
            </w:r>
          </w:p>
        </w:tc>
      </w:tr>
      <w:tr>
        <w:tc>
          <w:tcPr>
            <w:tcW w:type="dxa" w:w="2880"/>
            <w:shd w:val="clear" w:color="auto" w:fill="FFFFFF"/>
          </w:tcPr>
          <w:p>
            <w:r>
              <w:rPr>
                <w:sz w:val="19"/>
              </w:rPr>
              <w:t>FCF Y4-5 (FY2029-30)</w:t>
            </w:r>
          </w:p>
        </w:tc>
        <w:tc>
          <w:tcPr>
            <w:tcW w:type="dxa" w:w="2448"/>
            <w:shd w:val="clear" w:color="auto" w:fill="FFFFFF"/>
          </w:tcPr>
          <w:p>
            <w:r>
              <w:rPr>
                <w:sz w:val="19"/>
              </w:rPr>
              <w:t>$24B→$28B</w:t>
            </w:r>
          </w:p>
        </w:tc>
        <w:tc>
          <w:tcPr>
            <w:tcW w:type="dxa" w:w="4032"/>
            <w:shd w:val="clear" w:color="auto" w:fill="FFFFFF"/>
          </w:tcPr>
          <w:p>
            <w:r>
              <w:rPr>
                <w:sz w:val="19"/>
              </w:rPr>
              <w:t>CapEx moderates; cloud revenues ramp significantly</w:t>
            </w:r>
          </w:p>
        </w:tc>
      </w:tr>
      <w:tr>
        <w:tc>
          <w:tcPr>
            <w:tcW w:type="dxa" w:w="2880"/>
            <w:shd w:val="clear" w:color="auto" w:fill="F4F6FB"/>
          </w:tcPr>
          <w:p>
            <w:r>
              <w:rPr>
                <w:sz w:val="19"/>
              </w:rPr>
              <w:t>FCF Y6-10 (FY2031-35)</w:t>
            </w:r>
          </w:p>
        </w:tc>
        <w:tc>
          <w:tcPr>
            <w:tcW w:type="dxa" w:w="2448"/>
            <w:shd w:val="clear" w:color="auto" w:fill="F4F6FB"/>
          </w:tcPr>
          <w:p>
            <w:r>
              <w:rPr>
                <w:sz w:val="19"/>
              </w:rPr>
              <w:t>12% annual growth</w:t>
            </w:r>
          </w:p>
        </w:tc>
        <w:tc>
          <w:tcPr>
            <w:tcW w:type="dxa" w:w="4032"/>
            <w:shd w:val="clear" w:color="auto" w:fill="F4F6FB"/>
          </w:tcPr>
          <w:p>
            <w:r>
              <w:rPr>
                <w:sz w:val="19"/>
              </w:rPr>
              <w:t>Cloud/AI monetization drives FCF acceleration</w:t>
            </w:r>
          </w:p>
        </w:tc>
      </w:tr>
      <w:tr>
        <w:tc>
          <w:tcPr>
            <w:tcW w:type="dxa" w:w="2880"/>
            <w:shd w:val="clear" w:color="auto" w:fill="FFFFFF"/>
          </w:tcPr>
          <w:p>
            <w:r>
              <w:rPr>
                <w:sz w:val="19"/>
              </w:rPr>
              <w:t>Terminal Growth Rate</w:t>
            </w:r>
          </w:p>
        </w:tc>
        <w:tc>
          <w:tcPr>
            <w:tcW w:type="dxa" w:w="2448"/>
            <w:shd w:val="clear" w:color="auto" w:fill="FFFFFF"/>
          </w:tcPr>
          <w:p>
            <w:r>
              <w:rPr>
                <w:sz w:val="19"/>
              </w:rPr>
              <w:t>3%</w:t>
            </w:r>
          </w:p>
        </w:tc>
        <w:tc>
          <w:tcPr>
            <w:tcW w:type="dxa" w:w="4032"/>
            <w:shd w:val="clear" w:color="auto" w:fill="FFFFFF"/>
          </w:tcPr>
          <w:p>
            <w:r>
              <w:rPr>
                <w:sz w:val="19"/>
              </w:rPr>
              <w:t>China long-term nominal GDP (~5%) discounted for risk</w:t>
            </w:r>
          </w:p>
        </w:tc>
      </w:tr>
      <w:tr>
        <w:tc>
          <w:tcPr>
            <w:tcW w:type="dxa" w:w="2880"/>
            <w:shd w:val="clear" w:color="auto" w:fill="F4F6FB"/>
          </w:tcPr>
          <w:p>
            <w:r>
              <w:rPr>
                <w:sz w:val="19"/>
              </w:rPr>
              <w:t>WACC Sensitivity</w:t>
            </w:r>
          </w:p>
        </w:tc>
        <w:tc>
          <w:tcPr>
            <w:tcW w:type="dxa" w:w="2448"/>
            <w:shd w:val="clear" w:color="auto" w:fill="F4F6FB"/>
          </w:tcPr>
          <w:p>
            <w:r>
              <w:rPr>
                <w:sz w:val="19"/>
              </w:rPr>
              <w:t>±1% WACC → ±~22% change in IV</w:t>
            </w:r>
          </w:p>
        </w:tc>
        <w:tc>
          <w:tcPr>
            <w:tcW w:type="dxa" w:w="4032"/>
            <w:shd w:val="clear" w:color="auto" w:fill="F4F6FB"/>
          </w:tcPr>
          <w:p>
            <w:r>
              <w:rPr>
                <w:sz w:val="19"/>
              </w:rPr>
              <w:t>High sensitivity — test both directions</w:t>
            </w:r>
          </w:p>
        </w:tc>
      </w:tr>
      <w:tr>
        <w:tc>
          <w:tcPr>
            <w:tcW w:type="dxa" w:w="2880"/>
            <w:shd w:val="clear" w:color="auto" w:fill="FFFFFF"/>
          </w:tcPr>
          <w:p>
            <w:r>
              <w:rPr>
                <w:sz w:val="19"/>
              </w:rPr>
              <w:t>FCF growth sensitivity</w:t>
            </w:r>
          </w:p>
        </w:tc>
        <w:tc>
          <w:tcPr>
            <w:tcW w:type="dxa" w:w="2448"/>
            <w:shd w:val="clear" w:color="auto" w:fill="FFFFFF"/>
          </w:tcPr>
          <w:p>
            <w:r>
              <w:rPr>
                <w:sz w:val="19"/>
              </w:rPr>
              <w:t>±3% Y6-10 growth → ±~18% IV change</w:t>
            </w:r>
          </w:p>
        </w:tc>
        <w:tc>
          <w:tcPr>
            <w:tcW w:type="dxa" w:w="4032"/>
            <w:shd w:val="clear" w:color="auto" w:fill="FFFFFF"/>
          </w:tcPr>
          <w:p>
            <w:r>
              <w:rPr>
                <w:sz w:val="19"/>
              </w:rPr>
              <w:t>Significant; cloud monetization key driver</w:t>
            </w:r>
          </w:p>
        </w:tc>
      </w:tr>
      <w:tr>
        <w:tc>
          <w:tcPr>
            <w:tcW w:type="dxa" w:w="2880"/>
            <w:shd w:val="clear" w:color="auto" w:fill="F4F6FB"/>
          </w:tcPr>
          <w:p>
            <w:r>
              <w:rPr>
                <w:sz w:val="19"/>
              </w:rPr>
              <w:t>China Risk Premium</w:t>
            </w:r>
          </w:p>
        </w:tc>
        <w:tc>
          <w:tcPr>
            <w:tcW w:type="dxa" w:w="2448"/>
            <w:shd w:val="clear" w:color="auto" w:fill="F4F6FB"/>
          </w:tcPr>
          <w:p>
            <w:r>
              <w:rPr>
                <w:sz w:val="19"/>
              </w:rPr>
              <w:t>1–3% above US equivalent</w:t>
            </w:r>
          </w:p>
        </w:tc>
        <w:tc>
          <w:tcPr>
            <w:tcW w:type="dxa" w:w="4032"/>
            <w:shd w:val="clear" w:color="auto" w:fill="F4F6FB"/>
          </w:tcPr>
          <w:p>
            <w:r>
              <w:rPr>
                <w:sz w:val="19"/>
              </w:rPr>
              <w:t>Non-quantifiable; VIE structure, Party influence</w:t>
            </w:r>
          </w:p>
        </w:tc>
      </w:tr>
    </w:tbl>
    <w:p>
      <w:pPr>
        <w:spacing w:before="320" w:after="80"/>
        <w:pBdr>
          <w:bottom w:val="single" w:sz="6" w:space="1" w:color="1A376C"/>
        </w:pBdr>
      </w:pPr>
      <w:r>
        <w:rPr>
          <w:b/>
          <w:color w:val="1A376C"/>
          <w:sz w:val="23"/>
        </w:rPr>
        <w:t>8. DCF VALUATION — BASE CASE (WACC 11%, CAPEX CYCLE + RECOVERY)</w:t>
      </w:r>
    </w:p>
    <w:p>
      <w:pPr>
        <w:spacing w:before="0" w:after="100"/>
      </w:pPr>
      <w:r>
        <w:rPr>
          <w:b w:val="0"/>
          <w:i w:val="0"/>
          <w:color w:val="555555"/>
          <w:sz w:val="20"/>
        </w:rPr>
        <w:t>Starting FCF: $22.87B (FY2025 actual). CapEx surge FY2026-28 depresses FCF. Recovery FY2029+.</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val="clear" w:color="auto" w:fill="1A376C"/>
          </w:tcPr>
          <w:p>
            <w:r>
              <w:rPr>
                <w:b/>
                <w:color w:val="FFFFFF"/>
                <w:sz w:val="19"/>
              </w:rPr>
              <w:t>Year</w:t>
            </w:r>
          </w:p>
        </w:tc>
        <w:tc>
          <w:tcPr>
            <w:tcW w:type="dxa" w:w="1728"/>
            <w:shd w:val="clear" w:color="auto" w:fill="1A376C"/>
          </w:tcPr>
          <w:p>
            <w:r>
              <w:rPr>
                <w:b/>
                <w:color w:val="FFFFFF"/>
                <w:sz w:val="19"/>
              </w:rPr>
              <w:t>FCF (Est.)</w:t>
            </w:r>
          </w:p>
        </w:tc>
        <w:tc>
          <w:tcPr>
            <w:tcW w:type="dxa" w:w="2880"/>
            <w:shd w:val="clear" w:color="auto" w:fill="1A376C"/>
          </w:tcPr>
          <w:p>
            <w:r>
              <w:rPr>
                <w:b/>
                <w:color w:val="FFFFFF"/>
                <w:sz w:val="19"/>
              </w:rPr>
              <w:t>Discount Factor (11%)</w:t>
            </w:r>
          </w:p>
        </w:tc>
        <w:tc>
          <w:tcPr>
            <w:tcW w:type="dxa" w:w="2736"/>
            <w:shd w:val="clear" w:color="auto" w:fill="1A376C"/>
          </w:tcPr>
          <w:p>
            <w:r>
              <w:rPr>
                <w:b/>
                <w:color w:val="FFFFFF"/>
                <w:sz w:val="19"/>
              </w:rPr>
              <w:t>Present Value</w:t>
            </w:r>
          </w:p>
        </w:tc>
      </w:tr>
      <w:tr>
        <w:tc>
          <w:tcPr>
            <w:tcW w:type="dxa" w:w="2160"/>
            <w:shd w:val="clear" w:color="auto" w:fill="F4F6FB"/>
          </w:tcPr>
          <w:p>
            <w:r>
              <w:rPr>
                <w:sz w:val="19"/>
              </w:rPr>
              <w:t>1 — FY2026</w:t>
            </w:r>
          </w:p>
        </w:tc>
        <w:tc>
          <w:tcPr>
            <w:tcW w:type="dxa" w:w="1728"/>
            <w:shd w:val="clear" w:color="auto" w:fill="F4F6FB"/>
          </w:tcPr>
          <w:p>
            <w:r>
              <w:rPr>
                <w:sz w:val="19"/>
              </w:rPr>
              <w:t>$10.0B</w:t>
            </w:r>
          </w:p>
        </w:tc>
        <w:tc>
          <w:tcPr>
            <w:tcW w:type="dxa" w:w="2880"/>
            <w:shd w:val="clear" w:color="auto" w:fill="F4F6FB"/>
          </w:tcPr>
          <w:p>
            <w:r>
              <w:rPr>
                <w:sz w:val="19"/>
              </w:rPr>
              <w:t>0.9009</w:t>
            </w:r>
          </w:p>
        </w:tc>
        <w:tc>
          <w:tcPr>
            <w:tcW w:type="dxa" w:w="2736"/>
            <w:shd w:val="clear" w:color="auto" w:fill="F4F6FB"/>
          </w:tcPr>
          <w:p>
            <w:r>
              <w:rPr>
                <w:sz w:val="19"/>
              </w:rPr>
              <w:t>$9.01B</w:t>
            </w:r>
          </w:p>
        </w:tc>
      </w:tr>
      <w:tr>
        <w:tc>
          <w:tcPr>
            <w:tcW w:type="dxa" w:w="2160"/>
            <w:shd w:val="clear" w:color="auto" w:fill="FFFFFF"/>
          </w:tcPr>
          <w:p>
            <w:r>
              <w:rPr>
                <w:sz w:val="19"/>
              </w:rPr>
              <w:t>2 — FY2027</w:t>
            </w:r>
          </w:p>
        </w:tc>
        <w:tc>
          <w:tcPr>
            <w:tcW w:type="dxa" w:w="1728"/>
            <w:shd w:val="clear" w:color="auto" w:fill="FFFFFF"/>
          </w:tcPr>
          <w:p>
            <w:r>
              <w:rPr>
                <w:sz w:val="19"/>
              </w:rPr>
              <w:t>$13.0B</w:t>
            </w:r>
          </w:p>
        </w:tc>
        <w:tc>
          <w:tcPr>
            <w:tcW w:type="dxa" w:w="2880"/>
            <w:shd w:val="clear" w:color="auto" w:fill="FFFFFF"/>
          </w:tcPr>
          <w:p>
            <w:r>
              <w:rPr>
                <w:sz w:val="19"/>
              </w:rPr>
              <w:t>0.8116</w:t>
            </w:r>
          </w:p>
        </w:tc>
        <w:tc>
          <w:tcPr>
            <w:tcW w:type="dxa" w:w="2736"/>
            <w:shd w:val="clear" w:color="auto" w:fill="FFFFFF"/>
          </w:tcPr>
          <w:p>
            <w:r>
              <w:rPr>
                <w:sz w:val="19"/>
              </w:rPr>
              <w:t>$10.55B</w:t>
            </w:r>
          </w:p>
        </w:tc>
      </w:tr>
      <w:tr>
        <w:tc>
          <w:tcPr>
            <w:tcW w:type="dxa" w:w="2160"/>
            <w:shd w:val="clear" w:color="auto" w:fill="F4F6FB"/>
          </w:tcPr>
          <w:p>
            <w:r>
              <w:rPr>
                <w:sz w:val="19"/>
              </w:rPr>
              <w:t>3 — FY2028</w:t>
            </w:r>
          </w:p>
        </w:tc>
        <w:tc>
          <w:tcPr>
            <w:tcW w:type="dxa" w:w="1728"/>
            <w:shd w:val="clear" w:color="auto" w:fill="F4F6FB"/>
          </w:tcPr>
          <w:p>
            <w:r>
              <w:rPr>
                <w:sz w:val="19"/>
              </w:rPr>
              <w:t>$17.0B</w:t>
            </w:r>
          </w:p>
        </w:tc>
        <w:tc>
          <w:tcPr>
            <w:tcW w:type="dxa" w:w="2880"/>
            <w:shd w:val="clear" w:color="auto" w:fill="F4F6FB"/>
          </w:tcPr>
          <w:p>
            <w:r>
              <w:rPr>
                <w:sz w:val="19"/>
              </w:rPr>
              <w:t>0.7312</w:t>
            </w:r>
          </w:p>
        </w:tc>
        <w:tc>
          <w:tcPr>
            <w:tcW w:type="dxa" w:w="2736"/>
            <w:shd w:val="clear" w:color="auto" w:fill="F4F6FB"/>
          </w:tcPr>
          <w:p>
            <w:r>
              <w:rPr>
                <w:sz w:val="19"/>
              </w:rPr>
              <w:t>$12.43B</w:t>
            </w:r>
          </w:p>
        </w:tc>
      </w:tr>
      <w:tr>
        <w:tc>
          <w:tcPr>
            <w:tcW w:type="dxa" w:w="2160"/>
            <w:shd w:val="clear" w:color="auto" w:fill="FFFFFF"/>
          </w:tcPr>
          <w:p>
            <w:r>
              <w:rPr>
                <w:sz w:val="19"/>
              </w:rPr>
              <w:t>4 — FY2029</w:t>
            </w:r>
          </w:p>
        </w:tc>
        <w:tc>
          <w:tcPr>
            <w:tcW w:type="dxa" w:w="1728"/>
            <w:shd w:val="clear" w:color="auto" w:fill="FFFFFF"/>
          </w:tcPr>
          <w:p>
            <w:r>
              <w:rPr>
                <w:sz w:val="19"/>
              </w:rPr>
              <w:t>$24.0B</w:t>
            </w:r>
          </w:p>
        </w:tc>
        <w:tc>
          <w:tcPr>
            <w:tcW w:type="dxa" w:w="2880"/>
            <w:shd w:val="clear" w:color="auto" w:fill="FFFFFF"/>
          </w:tcPr>
          <w:p>
            <w:r>
              <w:rPr>
                <w:sz w:val="19"/>
              </w:rPr>
              <w:t>0.6587</w:t>
            </w:r>
          </w:p>
        </w:tc>
        <w:tc>
          <w:tcPr>
            <w:tcW w:type="dxa" w:w="2736"/>
            <w:shd w:val="clear" w:color="auto" w:fill="FFFFFF"/>
          </w:tcPr>
          <w:p>
            <w:r>
              <w:rPr>
                <w:sz w:val="19"/>
              </w:rPr>
              <w:t>$15.81B</w:t>
            </w:r>
          </w:p>
        </w:tc>
      </w:tr>
      <w:tr>
        <w:tc>
          <w:tcPr>
            <w:tcW w:type="dxa" w:w="2160"/>
            <w:shd w:val="clear" w:color="auto" w:fill="F4F6FB"/>
          </w:tcPr>
          <w:p>
            <w:r>
              <w:rPr>
                <w:sz w:val="19"/>
              </w:rPr>
              <w:t>5 — FY2030</w:t>
            </w:r>
          </w:p>
        </w:tc>
        <w:tc>
          <w:tcPr>
            <w:tcW w:type="dxa" w:w="1728"/>
            <w:shd w:val="clear" w:color="auto" w:fill="F4F6FB"/>
          </w:tcPr>
          <w:p>
            <w:r>
              <w:rPr>
                <w:sz w:val="19"/>
              </w:rPr>
              <w:t>$28.0B</w:t>
            </w:r>
          </w:p>
        </w:tc>
        <w:tc>
          <w:tcPr>
            <w:tcW w:type="dxa" w:w="2880"/>
            <w:shd w:val="clear" w:color="auto" w:fill="F4F6FB"/>
          </w:tcPr>
          <w:p>
            <w:r>
              <w:rPr>
                <w:sz w:val="19"/>
              </w:rPr>
              <w:t>0.5935</w:t>
            </w:r>
          </w:p>
        </w:tc>
        <w:tc>
          <w:tcPr>
            <w:tcW w:type="dxa" w:w="2736"/>
            <w:shd w:val="clear" w:color="auto" w:fill="F4F6FB"/>
          </w:tcPr>
          <w:p>
            <w:r>
              <w:rPr>
                <w:sz w:val="19"/>
              </w:rPr>
              <w:t>$16.62B</w:t>
            </w:r>
          </w:p>
        </w:tc>
      </w:tr>
      <w:tr>
        <w:tc>
          <w:tcPr>
            <w:tcW w:type="dxa" w:w="2160"/>
            <w:shd w:val="clear" w:color="auto" w:fill="FFFFFF"/>
          </w:tcPr>
          <w:p>
            <w:r>
              <w:rPr>
                <w:sz w:val="19"/>
              </w:rPr>
              <w:t>6 — FY2031</w:t>
            </w:r>
          </w:p>
        </w:tc>
        <w:tc>
          <w:tcPr>
            <w:tcW w:type="dxa" w:w="1728"/>
            <w:shd w:val="clear" w:color="auto" w:fill="FFFFFF"/>
          </w:tcPr>
          <w:p>
            <w:r>
              <w:rPr>
                <w:sz w:val="19"/>
              </w:rPr>
              <w:t>$31.4B</w:t>
            </w:r>
          </w:p>
        </w:tc>
        <w:tc>
          <w:tcPr>
            <w:tcW w:type="dxa" w:w="2880"/>
            <w:shd w:val="clear" w:color="auto" w:fill="FFFFFF"/>
          </w:tcPr>
          <w:p>
            <w:r>
              <w:rPr>
                <w:sz w:val="19"/>
              </w:rPr>
              <w:t>0.5346</w:t>
            </w:r>
          </w:p>
        </w:tc>
        <w:tc>
          <w:tcPr>
            <w:tcW w:type="dxa" w:w="2736"/>
            <w:shd w:val="clear" w:color="auto" w:fill="FFFFFF"/>
          </w:tcPr>
          <w:p>
            <w:r>
              <w:rPr>
                <w:sz w:val="19"/>
              </w:rPr>
              <w:t>$16.79B</w:t>
            </w:r>
          </w:p>
        </w:tc>
      </w:tr>
      <w:tr>
        <w:tc>
          <w:tcPr>
            <w:tcW w:type="dxa" w:w="2160"/>
            <w:shd w:val="clear" w:color="auto" w:fill="F4F6FB"/>
          </w:tcPr>
          <w:p>
            <w:r>
              <w:rPr>
                <w:sz w:val="19"/>
              </w:rPr>
              <w:t>7 — FY2032</w:t>
            </w:r>
          </w:p>
        </w:tc>
        <w:tc>
          <w:tcPr>
            <w:tcW w:type="dxa" w:w="1728"/>
            <w:shd w:val="clear" w:color="auto" w:fill="F4F6FB"/>
          </w:tcPr>
          <w:p>
            <w:r>
              <w:rPr>
                <w:sz w:val="19"/>
              </w:rPr>
              <w:t>$35.2B</w:t>
            </w:r>
          </w:p>
        </w:tc>
        <w:tc>
          <w:tcPr>
            <w:tcW w:type="dxa" w:w="2880"/>
            <w:shd w:val="clear" w:color="auto" w:fill="F4F6FB"/>
          </w:tcPr>
          <w:p>
            <w:r>
              <w:rPr>
                <w:sz w:val="19"/>
              </w:rPr>
              <w:t>0.4817</w:t>
            </w:r>
          </w:p>
        </w:tc>
        <w:tc>
          <w:tcPr>
            <w:tcW w:type="dxa" w:w="2736"/>
            <w:shd w:val="clear" w:color="auto" w:fill="F4F6FB"/>
          </w:tcPr>
          <w:p>
            <w:r>
              <w:rPr>
                <w:sz w:val="19"/>
              </w:rPr>
              <w:t>$16.96B</w:t>
            </w:r>
          </w:p>
        </w:tc>
      </w:tr>
      <w:tr>
        <w:tc>
          <w:tcPr>
            <w:tcW w:type="dxa" w:w="2160"/>
            <w:shd w:val="clear" w:color="auto" w:fill="FFFFFF"/>
          </w:tcPr>
          <w:p>
            <w:r>
              <w:rPr>
                <w:sz w:val="19"/>
              </w:rPr>
              <w:t>8 — FY2033</w:t>
            </w:r>
          </w:p>
        </w:tc>
        <w:tc>
          <w:tcPr>
            <w:tcW w:type="dxa" w:w="1728"/>
            <w:shd w:val="clear" w:color="auto" w:fill="FFFFFF"/>
          </w:tcPr>
          <w:p>
            <w:r>
              <w:rPr>
                <w:sz w:val="19"/>
              </w:rPr>
              <w:t>$39.4B</w:t>
            </w:r>
          </w:p>
        </w:tc>
        <w:tc>
          <w:tcPr>
            <w:tcW w:type="dxa" w:w="2880"/>
            <w:shd w:val="clear" w:color="auto" w:fill="FFFFFF"/>
          </w:tcPr>
          <w:p>
            <w:r>
              <w:rPr>
                <w:sz w:val="19"/>
              </w:rPr>
              <w:t>0.4339</w:t>
            </w:r>
          </w:p>
        </w:tc>
        <w:tc>
          <w:tcPr>
            <w:tcW w:type="dxa" w:w="2736"/>
            <w:shd w:val="clear" w:color="auto" w:fill="FFFFFF"/>
          </w:tcPr>
          <w:p>
            <w:r>
              <w:rPr>
                <w:sz w:val="19"/>
              </w:rPr>
              <w:t>$17.10B</w:t>
            </w:r>
          </w:p>
        </w:tc>
      </w:tr>
      <w:tr>
        <w:tc>
          <w:tcPr>
            <w:tcW w:type="dxa" w:w="2160"/>
            <w:shd w:val="clear" w:color="auto" w:fill="F4F6FB"/>
          </w:tcPr>
          <w:p>
            <w:r>
              <w:rPr>
                <w:sz w:val="19"/>
              </w:rPr>
              <w:t>9 — FY2034</w:t>
            </w:r>
          </w:p>
        </w:tc>
        <w:tc>
          <w:tcPr>
            <w:tcW w:type="dxa" w:w="1728"/>
            <w:shd w:val="clear" w:color="auto" w:fill="F4F6FB"/>
          </w:tcPr>
          <w:p>
            <w:r>
              <w:rPr>
                <w:sz w:val="19"/>
              </w:rPr>
              <w:t>$44.1B</w:t>
            </w:r>
          </w:p>
        </w:tc>
        <w:tc>
          <w:tcPr>
            <w:tcW w:type="dxa" w:w="2880"/>
            <w:shd w:val="clear" w:color="auto" w:fill="F4F6FB"/>
          </w:tcPr>
          <w:p>
            <w:r>
              <w:rPr>
                <w:sz w:val="19"/>
              </w:rPr>
              <w:t>0.3909</w:t>
            </w:r>
          </w:p>
        </w:tc>
        <w:tc>
          <w:tcPr>
            <w:tcW w:type="dxa" w:w="2736"/>
            <w:shd w:val="clear" w:color="auto" w:fill="F4F6FB"/>
          </w:tcPr>
          <w:p>
            <w:r>
              <w:rPr>
                <w:sz w:val="19"/>
              </w:rPr>
              <w:t>$17.24B</w:t>
            </w:r>
          </w:p>
        </w:tc>
      </w:tr>
      <w:tr>
        <w:tc>
          <w:tcPr>
            <w:tcW w:type="dxa" w:w="2160"/>
            <w:shd w:val="clear" w:color="auto" w:fill="FFFFFF"/>
          </w:tcPr>
          <w:p>
            <w:r>
              <w:rPr>
                <w:sz w:val="19"/>
              </w:rPr>
              <w:t>10 — FY2035</w:t>
            </w:r>
          </w:p>
        </w:tc>
        <w:tc>
          <w:tcPr>
            <w:tcW w:type="dxa" w:w="1728"/>
            <w:shd w:val="clear" w:color="auto" w:fill="FFFFFF"/>
          </w:tcPr>
          <w:p>
            <w:r>
              <w:rPr>
                <w:sz w:val="19"/>
              </w:rPr>
              <w:t>$49.4B</w:t>
            </w:r>
          </w:p>
        </w:tc>
        <w:tc>
          <w:tcPr>
            <w:tcW w:type="dxa" w:w="2880"/>
            <w:shd w:val="clear" w:color="auto" w:fill="FFFFFF"/>
          </w:tcPr>
          <w:p>
            <w:r>
              <w:rPr>
                <w:sz w:val="19"/>
              </w:rPr>
              <w:t>0.3522</w:t>
            </w:r>
          </w:p>
        </w:tc>
        <w:tc>
          <w:tcPr>
            <w:tcW w:type="dxa" w:w="2736"/>
            <w:shd w:val="clear" w:color="auto" w:fill="FFFFFF"/>
          </w:tcPr>
          <w:p>
            <w:r>
              <w:rPr>
                <w:sz w:val="19"/>
              </w:rPr>
              <w:t>$17.40B</w:t>
            </w:r>
          </w:p>
        </w:tc>
      </w:tr>
      <w:tr>
        <w:tc>
          <w:tcPr>
            <w:tcW w:type="dxa" w:w="2160"/>
            <w:shd w:val="clear" w:color="auto" w:fill="F4F6FB"/>
          </w:tcPr>
          <w:p>
            <w:r>
              <w:rPr>
                <w:sz w:val="19"/>
              </w:rPr>
              <w:t>YEARS 1–10 TOTAL</w:t>
            </w:r>
          </w:p>
        </w:tc>
        <w:tc>
          <w:tcPr>
            <w:tcW w:type="dxa" w:w="1728"/>
            <w:shd w:val="clear" w:color="auto" w:fill="F4F6FB"/>
          </w:tcPr>
          <w:p>
            <w:r>
              <w:rPr>
                <w:sz w:val="19"/>
              </w:rPr>
            </w:r>
          </w:p>
        </w:tc>
        <w:tc>
          <w:tcPr>
            <w:tcW w:type="dxa" w:w="2880"/>
            <w:shd w:val="clear" w:color="auto" w:fill="F4F6FB"/>
          </w:tcPr>
          <w:p>
            <w:r>
              <w:rPr>
                <w:sz w:val="19"/>
              </w:rPr>
            </w:r>
          </w:p>
        </w:tc>
        <w:tc>
          <w:tcPr>
            <w:tcW w:type="dxa" w:w="2736"/>
            <w:shd w:val="clear" w:color="auto" w:fill="F4F6FB"/>
          </w:tcPr>
          <w:p>
            <w:r>
              <w:rPr>
                <w:sz w:val="19"/>
              </w:rPr>
              <w:t>$149.91B</w:t>
            </w:r>
          </w:p>
        </w:tc>
      </w:tr>
    </w:tbl>
    <w:tbl>
      <w:tblPr>
        <w:tblStyle w:val="TableGrid"/>
        <w:tblW w:type="auto" w:w="0"/>
        <w:jc w:val="center"/>
        <w:tblLook w:firstColumn="1" w:firstRow="1" w:lastColumn="0" w:lastRow="0" w:noHBand="0" w:noVBand="1" w:val="04A0"/>
      </w:tblPr>
      <w:tblGrid>
        <w:gridCol w:w="3024"/>
        <w:gridCol w:w="3024"/>
        <w:gridCol w:w="3024"/>
      </w:tblGrid>
      <w:tr>
        <w:tc>
          <w:tcPr>
            <w:tcW w:type="dxa" w:w="3600"/>
            <w:shd w:val="clear" w:color="auto" w:fill="1A376C"/>
          </w:tcPr>
          <w:p>
            <w:r>
              <w:rPr>
                <w:b/>
                <w:color w:val="FFFFFF"/>
                <w:sz w:val="19"/>
              </w:rPr>
              <w:t>Terminal Value Component</w:t>
            </w:r>
          </w:p>
        </w:tc>
        <w:tc>
          <w:tcPr>
            <w:tcW w:type="dxa" w:w="3600"/>
            <w:shd w:val="clear" w:color="auto" w:fill="1A376C"/>
          </w:tcPr>
          <w:p>
            <w:r>
              <w:rPr>
                <w:b/>
                <w:color w:val="FFFFFF"/>
                <w:sz w:val="19"/>
              </w:rPr>
              <w:t>Calculation</w:t>
            </w:r>
          </w:p>
        </w:tc>
        <w:tc>
          <w:tcPr>
            <w:tcW w:type="dxa" w:w="2448"/>
            <w:shd w:val="clear" w:color="auto" w:fill="1A376C"/>
          </w:tcPr>
          <w:p>
            <w:r>
              <w:rPr>
                <w:b/>
                <w:color w:val="FFFFFF"/>
                <w:sz w:val="19"/>
              </w:rPr>
              <w:t>Result</w:t>
            </w:r>
          </w:p>
        </w:tc>
      </w:tr>
      <w:tr>
        <w:tc>
          <w:tcPr>
            <w:tcW w:type="dxa" w:w="3600"/>
            <w:shd w:val="clear" w:color="auto" w:fill="F4F6FB"/>
          </w:tcPr>
          <w:p>
            <w:r>
              <w:rPr>
                <w:sz w:val="19"/>
              </w:rPr>
              <w:t>Year 11 FCF</w:t>
            </w:r>
          </w:p>
        </w:tc>
        <w:tc>
          <w:tcPr>
            <w:tcW w:type="dxa" w:w="3600"/>
            <w:shd w:val="clear" w:color="auto" w:fill="F4F6FB"/>
          </w:tcPr>
          <w:p>
            <w:r>
              <w:rPr>
                <w:sz w:val="19"/>
              </w:rPr>
              <w:t>$49.4B × 1.03</w:t>
            </w:r>
          </w:p>
        </w:tc>
        <w:tc>
          <w:tcPr>
            <w:tcW w:type="dxa" w:w="2448"/>
            <w:shd w:val="clear" w:color="auto" w:fill="F4F6FB"/>
          </w:tcPr>
          <w:p>
            <w:r>
              <w:rPr>
                <w:sz w:val="19"/>
              </w:rPr>
              <w:t>$50.88B</w:t>
            </w:r>
          </w:p>
        </w:tc>
      </w:tr>
      <w:tr>
        <w:tc>
          <w:tcPr>
            <w:tcW w:type="dxa" w:w="3600"/>
            <w:shd w:val="clear" w:color="auto" w:fill="FFFFFF"/>
          </w:tcPr>
          <w:p>
            <w:r>
              <w:rPr>
                <w:sz w:val="19"/>
              </w:rPr>
              <w:t>Terminal Value (Gordon)</w:t>
            </w:r>
          </w:p>
        </w:tc>
        <w:tc>
          <w:tcPr>
            <w:tcW w:type="dxa" w:w="3600"/>
            <w:shd w:val="clear" w:color="auto" w:fill="FFFFFF"/>
          </w:tcPr>
          <w:p>
            <w:r>
              <w:rPr>
                <w:sz w:val="19"/>
              </w:rPr>
              <w:t>$50.88B ÷ (11% – 3%)</w:t>
            </w:r>
          </w:p>
        </w:tc>
        <w:tc>
          <w:tcPr>
            <w:tcW w:type="dxa" w:w="2448"/>
            <w:shd w:val="clear" w:color="auto" w:fill="FFFFFF"/>
          </w:tcPr>
          <w:p>
            <w:r>
              <w:rPr>
                <w:sz w:val="19"/>
              </w:rPr>
              <w:t>$636.0B</w:t>
            </w:r>
          </w:p>
        </w:tc>
      </w:tr>
      <w:tr>
        <w:tc>
          <w:tcPr>
            <w:tcW w:type="dxa" w:w="3600"/>
            <w:shd w:val="clear" w:color="auto" w:fill="F4F6FB"/>
          </w:tcPr>
          <w:p>
            <w:r>
              <w:rPr>
                <w:sz w:val="19"/>
              </w:rPr>
              <w:t>PV of Terminal Value</w:t>
            </w:r>
          </w:p>
        </w:tc>
        <w:tc>
          <w:tcPr>
            <w:tcW w:type="dxa" w:w="3600"/>
            <w:shd w:val="clear" w:color="auto" w:fill="F4F6FB"/>
          </w:tcPr>
          <w:p>
            <w:r>
              <w:rPr>
                <w:sz w:val="19"/>
              </w:rPr>
              <w:t>$636.0B ÷ 1.11¹⁰</w:t>
            </w:r>
          </w:p>
        </w:tc>
        <w:tc>
          <w:tcPr>
            <w:tcW w:type="dxa" w:w="2448"/>
            <w:shd w:val="clear" w:color="auto" w:fill="F4F6FB"/>
          </w:tcPr>
          <w:p>
            <w:r>
              <w:rPr>
                <w:sz w:val="19"/>
              </w:rPr>
              <w:t>$223.9B</w:t>
            </w:r>
          </w:p>
        </w:tc>
      </w:tr>
      <w:tr>
        <w:tc>
          <w:tcPr>
            <w:tcW w:type="dxa" w:w="3600"/>
            <w:shd w:val="clear" w:color="auto" w:fill="FFFFFF"/>
          </w:tcPr>
          <w:p>
            <w:r>
              <w:rPr>
                <w:sz w:val="19"/>
              </w:rPr>
              <w:t>ENTERPRISE VALUE (EV)</w:t>
            </w:r>
          </w:p>
        </w:tc>
        <w:tc>
          <w:tcPr>
            <w:tcW w:type="dxa" w:w="3600"/>
            <w:shd w:val="clear" w:color="auto" w:fill="FFFFFF"/>
          </w:tcPr>
          <w:p>
            <w:r>
              <w:rPr>
                <w:sz w:val="19"/>
              </w:rPr>
              <w:t>$149.91B + $223.9B</w:t>
            </w:r>
          </w:p>
        </w:tc>
        <w:tc>
          <w:tcPr>
            <w:tcW w:type="dxa" w:w="2448"/>
            <w:shd w:val="clear" w:color="auto" w:fill="FFFFFF"/>
          </w:tcPr>
          <w:p>
            <w:r>
              <w:rPr>
                <w:sz w:val="19"/>
              </w:rPr>
              <w:t>$373.8B</w:t>
            </w:r>
          </w:p>
        </w:tc>
      </w:tr>
      <w:tr>
        <w:tc>
          <w:tcPr>
            <w:tcW w:type="dxa" w:w="3600"/>
            <w:shd w:val="clear" w:color="auto" w:fill="F4F6FB"/>
          </w:tcPr>
          <w:p>
            <w:r>
              <w:rPr>
                <w:sz w:val="19"/>
              </w:rPr>
              <w:t>Add: Net Cash</w:t>
            </w:r>
          </w:p>
        </w:tc>
        <w:tc>
          <w:tcPr>
            <w:tcW w:type="dxa" w:w="3600"/>
            <w:shd w:val="clear" w:color="auto" w:fill="F4F6FB"/>
          </w:tcPr>
          <w:p>
            <w:r>
              <w:rPr>
                <w:sz w:val="19"/>
              </w:rPr>
            </w:r>
          </w:p>
        </w:tc>
        <w:tc>
          <w:tcPr>
            <w:tcW w:type="dxa" w:w="2448"/>
            <w:shd w:val="clear" w:color="auto" w:fill="F4F6FB"/>
          </w:tcPr>
          <w:p>
            <w:r>
              <w:rPr>
                <w:sz w:val="19"/>
              </w:rPr>
              <w:t>+ $49.0B</w:t>
            </w:r>
          </w:p>
        </w:tc>
      </w:tr>
      <w:tr>
        <w:tc>
          <w:tcPr>
            <w:tcW w:type="dxa" w:w="3600"/>
            <w:shd w:val="clear" w:color="auto" w:fill="FFFFFF"/>
          </w:tcPr>
          <w:p>
            <w:r>
              <w:rPr>
                <w:sz w:val="19"/>
              </w:rPr>
              <w:t>EQUITY VALUE</w:t>
            </w:r>
          </w:p>
        </w:tc>
        <w:tc>
          <w:tcPr>
            <w:tcW w:type="dxa" w:w="3600"/>
            <w:shd w:val="clear" w:color="auto" w:fill="FFFFFF"/>
          </w:tcPr>
          <w:p>
            <w:r>
              <w:rPr>
                <w:sz w:val="19"/>
              </w:rPr>
            </w:r>
          </w:p>
        </w:tc>
        <w:tc>
          <w:tcPr>
            <w:tcW w:type="dxa" w:w="2448"/>
            <w:shd w:val="clear" w:color="auto" w:fill="FFFFFF"/>
          </w:tcPr>
          <w:p>
            <w:r>
              <w:rPr>
                <w:sz w:val="19"/>
              </w:rPr>
              <w:t>$422.8B</w:t>
            </w:r>
          </w:p>
        </w:tc>
      </w:tr>
      <w:tr>
        <w:tc>
          <w:tcPr>
            <w:tcW w:type="dxa" w:w="3600"/>
            <w:shd w:val="clear" w:color="auto" w:fill="F4F6FB"/>
          </w:tcPr>
          <w:p>
            <w:r>
              <w:rPr>
                <w:sz w:val="19"/>
              </w:rPr>
              <w:t>PER ADS (÷ 2.43B)</w:t>
            </w:r>
          </w:p>
        </w:tc>
        <w:tc>
          <w:tcPr>
            <w:tcW w:type="dxa" w:w="3600"/>
            <w:shd w:val="clear" w:color="auto" w:fill="F4F6FB"/>
          </w:tcPr>
          <w:p>
            <w:r>
              <w:rPr>
                <w:sz w:val="19"/>
              </w:rPr>
            </w:r>
          </w:p>
        </w:tc>
        <w:tc>
          <w:tcPr>
            <w:tcW w:type="dxa" w:w="2448"/>
            <w:shd w:val="clear" w:color="auto" w:fill="F4F6FB"/>
          </w:tcPr>
          <w:p>
            <w:r>
              <w:rPr>
                <w:sz w:val="19"/>
              </w:rPr>
              <w:t>$174.00/ADS</w:t>
            </w:r>
          </w:p>
        </w:tc>
      </w:tr>
      <w:tr>
        <w:tc>
          <w:tcPr>
            <w:tcW w:type="dxa" w:w="3600"/>
            <w:shd w:val="clear" w:color="auto" w:fill="FFFFFF"/>
          </w:tcPr>
          <w:p>
            <w:r>
              <w:rPr>
                <w:sz w:val="19"/>
              </w:rPr>
              <w:t>Gordon Model Cross-Check</w:t>
            </w:r>
          </w:p>
        </w:tc>
        <w:tc>
          <w:tcPr>
            <w:tcW w:type="dxa" w:w="3600"/>
            <w:shd w:val="clear" w:color="auto" w:fill="FFFFFF"/>
          </w:tcPr>
          <w:p>
            <w:r>
              <w:rPr>
                <w:sz w:val="19"/>
              </w:rPr>
              <w:t>$22.87B×1.08÷(11%–3%)÷2.43B = $127.4B EV → ~$145/ADS</w:t>
            </w:r>
          </w:p>
        </w:tc>
        <w:tc>
          <w:tcPr>
            <w:tcW w:type="dxa" w:w="2448"/>
            <w:shd w:val="clear" w:color="auto" w:fill="FFFFFF"/>
          </w:tcPr>
          <w:p>
            <w:r>
              <w:rPr>
                <w:sz w:val="19"/>
              </w:rPr>
              <w:t>~17% gap — acceptable given CapEx cycle adj.</w:t>
            </w:r>
          </w:p>
        </w:tc>
      </w:tr>
    </w:tbl>
    <w:p>
      <w:pPr>
        <w:spacing w:before="320" w:after="80"/>
        <w:pBdr>
          <w:bottom w:val="single" w:sz="6" w:space="1" w:color="1A376C"/>
        </w:pBdr>
      </w:pPr>
      <w:r>
        <w:rPr>
          <w:b/>
          <w:color w:val="1A376C"/>
          <w:sz w:val="23"/>
        </w:rPr>
        <w:t>9. THREE-SCENARIO VALUATION SUMMARY</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080"/>
            <w:shd w:val="clear" w:color="auto" w:fill="1A376C"/>
          </w:tcPr>
          <w:p>
            <w:r>
              <w:rPr>
                <w:b/>
                <w:color w:val="FFFFFF"/>
                <w:sz w:val="19"/>
              </w:rPr>
              <w:t>Scenario</w:t>
            </w:r>
          </w:p>
        </w:tc>
        <w:tc>
          <w:tcPr>
            <w:tcW w:type="dxa" w:w="3456"/>
            <w:shd w:val="clear" w:color="auto" w:fill="1A376C"/>
          </w:tcPr>
          <w:p>
            <w:r>
              <w:rPr>
                <w:b/>
                <w:color w:val="FFFFFF"/>
                <w:sz w:val="19"/>
              </w:rPr>
              <w:t>Core Assumption</w:t>
            </w:r>
          </w:p>
        </w:tc>
        <w:tc>
          <w:tcPr>
            <w:tcW w:type="dxa" w:w="864"/>
            <w:shd w:val="clear" w:color="auto" w:fill="1A376C"/>
          </w:tcPr>
          <w:p>
            <w:r>
              <w:rPr>
                <w:b/>
                <w:color w:val="FFFFFF"/>
                <w:sz w:val="19"/>
              </w:rPr>
              <w:t>WACC</w:t>
            </w:r>
          </w:p>
        </w:tc>
        <w:tc>
          <w:tcPr>
            <w:tcW w:type="dxa" w:w="2160"/>
            <w:shd w:val="clear" w:color="auto" w:fill="1A376C"/>
          </w:tcPr>
          <w:p>
            <w:r>
              <w:rPr>
                <w:b/>
                <w:color w:val="FFFFFF"/>
                <w:sz w:val="19"/>
              </w:rPr>
              <w:t>FCF Path</w:t>
            </w:r>
          </w:p>
        </w:tc>
        <w:tc>
          <w:tcPr>
            <w:tcW w:type="dxa" w:w="1080"/>
            <w:shd w:val="clear" w:color="auto" w:fill="1A376C"/>
          </w:tcPr>
          <w:p>
            <w:r>
              <w:rPr>
                <w:b/>
                <w:color w:val="FFFFFF"/>
                <w:sz w:val="19"/>
              </w:rPr>
              <w:t>Terminal g</w:t>
            </w:r>
          </w:p>
        </w:tc>
        <w:tc>
          <w:tcPr>
            <w:tcW w:type="dxa" w:w="1152"/>
            <w:shd w:val="clear" w:color="auto" w:fill="1A376C"/>
          </w:tcPr>
          <w:p>
            <w:r>
              <w:rPr>
                <w:b/>
                <w:color w:val="FFFFFF"/>
                <w:sz w:val="19"/>
              </w:rPr>
              <w:t>IV/ADS</w:t>
            </w:r>
          </w:p>
        </w:tc>
        <w:tc>
          <w:tcPr>
            <w:tcW w:type="dxa" w:w="864"/>
            <w:shd w:val="clear" w:color="auto" w:fill="1A376C"/>
          </w:tcPr>
          <w:p>
            <w:r>
              <w:rPr>
                <w:b/>
                <w:color w:val="FFFFFF"/>
                <w:sz w:val="19"/>
              </w:rPr>
              <w:t>Upside</w:t>
            </w:r>
          </w:p>
        </w:tc>
        <w:tc>
          <w:tcPr>
            <w:tcW w:type="dxa" w:w="1080"/>
            <w:shd w:val="clear" w:color="auto" w:fill="1A376C"/>
          </w:tcPr>
          <w:p>
            <w:r>
              <w:rPr>
                <w:b/>
                <w:color w:val="FFFFFF"/>
                <w:sz w:val="19"/>
              </w:rPr>
              <w:t>Probability</w:t>
            </w:r>
          </w:p>
        </w:tc>
      </w:tr>
      <w:tr>
        <w:tc>
          <w:tcPr>
            <w:tcW w:type="dxa" w:w="1080"/>
            <w:shd w:val="clear" w:color="auto" w:fill="F4F6FB"/>
          </w:tcPr>
          <w:p>
            <w:r>
              <w:rPr>
                <w:sz w:val="19"/>
              </w:rPr>
              <w:t>BEAR</w:t>
            </w:r>
          </w:p>
        </w:tc>
        <w:tc>
          <w:tcPr>
            <w:tcW w:type="dxa" w:w="3456"/>
            <w:shd w:val="clear" w:color="auto" w:fill="F4F6FB"/>
          </w:tcPr>
          <w:p>
            <w:r>
              <w:rPr>
                <w:sz w:val="19"/>
              </w:rPr>
              <w:t>VIE failure/delisting; cloud never profits; PDD wins e-comm</w:t>
            </w:r>
          </w:p>
        </w:tc>
        <w:tc>
          <w:tcPr>
            <w:tcW w:type="dxa" w:w="864"/>
            <w:shd w:val="clear" w:color="auto" w:fill="F4F6FB"/>
          </w:tcPr>
          <w:p>
            <w:r>
              <w:rPr>
                <w:sz w:val="19"/>
              </w:rPr>
              <w:t>13%</w:t>
            </w:r>
          </w:p>
        </w:tc>
        <w:tc>
          <w:tcPr>
            <w:tcW w:type="dxa" w:w="2160"/>
            <w:shd w:val="clear" w:color="auto" w:fill="F4F6FB"/>
          </w:tcPr>
          <w:p>
            <w:r>
              <w:rPr>
                <w:sz w:val="19"/>
              </w:rPr>
              <w:t>$8→10→12B, then 5% growth</w:t>
            </w:r>
          </w:p>
        </w:tc>
        <w:tc>
          <w:tcPr>
            <w:tcW w:type="dxa" w:w="1080"/>
            <w:shd w:val="clear" w:color="auto" w:fill="F4F6FB"/>
          </w:tcPr>
          <w:p>
            <w:r>
              <w:rPr>
                <w:sz w:val="19"/>
              </w:rPr>
              <w:t>2.5%</w:t>
            </w:r>
          </w:p>
        </w:tc>
        <w:tc>
          <w:tcPr>
            <w:tcW w:type="dxa" w:w="1152"/>
            <w:shd w:val="clear" w:color="auto" w:fill="F4F6FB"/>
          </w:tcPr>
          <w:p>
            <w:r>
              <w:rPr>
                <w:sz w:val="19"/>
              </w:rPr>
              <w:t>$78</w:t>
            </w:r>
          </w:p>
        </w:tc>
        <w:tc>
          <w:tcPr>
            <w:tcW w:type="dxa" w:w="864"/>
            <w:shd w:val="clear" w:color="auto" w:fill="F4F6FB"/>
          </w:tcPr>
          <w:p>
            <w:r>
              <w:rPr>
                <w:sz w:val="19"/>
              </w:rPr>
              <w:t>–36%</w:t>
            </w:r>
          </w:p>
        </w:tc>
        <w:tc>
          <w:tcPr>
            <w:tcW w:type="dxa" w:w="1080"/>
            <w:shd w:val="clear" w:color="auto" w:fill="F4F6FB"/>
          </w:tcPr>
          <w:p>
            <w:r>
              <w:rPr>
                <w:sz w:val="19"/>
              </w:rPr>
              <w:t>20%</w:t>
            </w:r>
          </w:p>
        </w:tc>
      </w:tr>
      <w:tr>
        <w:tc>
          <w:tcPr>
            <w:tcW w:type="dxa" w:w="1080"/>
            <w:shd w:val="clear" w:color="auto" w:fill="FFFFFF"/>
          </w:tcPr>
          <w:p>
            <w:r>
              <w:rPr>
                <w:sz w:val="19"/>
              </w:rPr>
              <w:t>BASE</w:t>
            </w:r>
          </w:p>
        </w:tc>
        <w:tc>
          <w:tcPr>
            <w:tcW w:type="dxa" w:w="3456"/>
            <w:shd w:val="clear" w:color="auto" w:fill="FFFFFF"/>
          </w:tcPr>
          <w:p>
            <w:r>
              <w:rPr>
                <w:sz w:val="19"/>
              </w:rPr>
              <w:t>CapEx cycle pays off; cloud 34% growth; e-comm stable</w:t>
            </w:r>
          </w:p>
        </w:tc>
        <w:tc>
          <w:tcPr>
            <w:tcW w:type="dxa" w:w="864"/>
            <w:shd w:val="clear" w:color="auto" w:fill="FFFFFF"/>
          </w:tcPr>
          <w:p>
            <w:r>
              <w:rPr>
                <w:sz w:val="19"/>
              </w:rPr>
              <w:t>11%</w:t>
            </w:r>
          </w:p>
        </w:tc>
        <w:tc>
          <w:tcPr>
            <w:tcW w:type="dxa" w:w="2160"/>
            <w:shd w:val="clear" w:color="auto" w:fill="FFFFFF"/>
          </w:tcPr>
          <w:p>
            <w:r>
              <w:rPr>
                <w:sz w:val="19"/>
              </w:rPr>
              <w:t>$10→28B recovery path</w:t>
            </w:r>
          </w:p>
        </w:tc>
        <w:tc>
          <w:tcPr>
            <w:tcW w:type="dxa" w:w="1080"/>
            <w:shd w:val="clear" w:color="auto" w:fill="FFFFFF"/>
          </w:tcPr>
          <w:p>
            <w:r>
              <w:rPr>
                <w:sz w:val="19"/>
              </w:rPr>
              <w:t>3.0%</w:t>
            </w:r>
          </w:p>
        </w:tc>
        <w:tc>
          <w:tcPr>
            <w:tcW w:type="dxa" w:w="1152"/>
            <w:shd w:val="clear" w:color="auto" w:fill="FFFFFF"/>
          </w:tcPr>
          <w:p>
            <w:r>
              <w:rPr>
                <w:sz w:val="19"/>
              </w:rPr>
              <w:t>$174</w:t>
            </w:r>
          </w:p>
        </w:tc>
        <w:tc>
          <w:tcPr>
            <w:tcW w:type="dxa" w:w="864"/>
            <w:shd w:val="clear" w:color="auto" w:fill="FFFFFF"/>
          </w:tcPr>
          <w:p>
            <w:r>
              <w:rPr>
                <w:sz w:val="19"/>
              </w:rPr>
              <w:t>+43%</w:t>
            </w:r>
          </w:p>
        </w:tc>
        <w:tc>
          <w:tcPr>
            <w:tcW w:type="dxa" w:w="1080"/>
            <w:shd w:val="clear" w:color="auto" w:fill="FFFFFF"/>
          </w:tcPr>
          <w:p>
            <w:r>
              <w:rPr>
                <w:sz w:val="19"/>
              </w:rPr>
              <w:t>55%</w:t>
            </w:r>
          </w:p>
        </w:tc>
      </w:tr>
      <w:tr>
        <w:tc>
          <w:tcPr>
            <w:tcW w:type="dxa" w:w="1080"/>
            <w:shd w:val="clear" w:color="auto" w:fill="F4F6FB"/>
          </w:tcPr>
          <w:p>
            <w:r>
              <w:rPr>
                <w:sz w:val="19"/>
              </w:rPr>
              <w:t>BULL</w:t>
            </w:r>
          </w:p>
        </w:tc>
        <w:tc>
          <w:tcPr>
            <w:tcW w:type="dxa" w:w="3456"/>
            <w:shd w:val="clear" w:color="auto" w:fill="F4F6FB"/>
          </w:tcPr>
          <w:p>
            <w:r>
              <w:rPr>
                <w:sz w:val="19"/>
              </w:rPr>
              <w:t>Cloud re-rated like AWS; AI moat established; trade deal</w:t>
            </w:r>
          </w:p>
        </w:tc>
        <w:tc>
          <w:tcPr>
            <w:tcW w:type="dxa" w:w="864"/>
            <w:shd w:val="clear" w:color="auto" w:fill="F4F6FB"/>
          </w:tcPr>
          <w:p>
            <w:r>
              <w:rPr>
                <w:sz w:val="19"/>
              </w:rPr>
              <w:t>9%</w:t>
            </w:r>
          </w:p>
        </w:tc>
        <w:tc>
          <w:tcPr>
            <w:tcW w:type="dxa" w:w="2160"/>
            <w:shd w:val="clear" w:color="auto" w:fill="F4F6FB"/>
          </w:tcPr>
          <w:p>
            <w:r>
              <w:rPr>
                <w:sz w:val="19"/>
              </w:rPr>
              <w:t>$15→45B, then 12% growth</w:t>
            </w:r>
          </w:p>
        </w:tc>
        <w:tc>
          <w:tcPr>
            <w:tcW w:type="dxa" w:w="1080"/>
            <w:shd w:val="clear" w:color="auto" w:fill="F4F6FB"/>
          </w:tcPr>
          <w:p>
            <w:r>
              <w:rPr>
                <w:sz w:val="19"/>
              </w:rPr>
              <w:t>3.0%</w:t>
            </w:r>
          </w:p>
        </w:tc>
        <w:tc>
          <w:tcPr>
            <w:tcW w:type="dxa" w:w="1152"/>
            <w:shd w:val="clear" w:color="auto" w:fill="F4F6FB"/>
          </w:tcPr>
          <w:p>
            <w:r>
              <w:rPr>
                <w:sz w:val="19"/>
              </w:rPr>
              <w:t>$280</w:t>
            </w:r>
          </w:p>
        </w:tc>
        <w:tc>
          <w:tcPr>
            <w:tcW w:type="dxa" w:w="864"/>
            <w:shd w:val="clear" w:color="auto" w:fill="F4F6FB"/>
          </w:tcPr>
          <w:p>
            <w:r>
              <w:rPr>
                <w:sz w:val="19"/>
              </w:rPr>
              <w:t>+129%</w:t>
            </w:r>
          </w:p>
        </w:tc>
        <w:tc>
          <w:tcPr>
            <w:tcW w:type="dxa" w:w="1080"/>
            <w:shd w:val="clear" w:color="auto" w:fill="F4F6FB"/>
          </w:tcPr>
          <w:p>
            <w:r>
              <w:rPr>
                <w:sz w:val="19"/>
              </w:rPr>
              <w:t>25%</w:t>
            </w:r>
          </w:p>
        </w:tc>
      </w:tr>
      <w:tr>
        <w:tc>
          <w:tcPr>
            <w:tcW w:type="dxa" w:w="1080"/>
            <w:shd w:val="clear" w:color="auto" w:fill="FFFFFF"/>
          </w:tcPr>
          <w:p>
            <w:r>
              <w:rPr>
                <w:sz w:val="19"/>
              </w:rPr>
              <w:t>PROB. WEIGHTED</w:t>
            </w:r>
          </w:p>
        </w:tc>
        <w:tc>
          <w:tcPr>
            <w:tcW w:type="dxa" w:w="3456"/>
            <w:shd w:val="clear" w:color="auto" w:fill="FFFFFF"/>
          </w:tcPr>
          <w:p>
            <w:r>
              <w:rPr>
                <w:sz w:val="19"/>
              </w:rPr>
              <w:t>20%×$78 + 55%×$174 + 25%×$280</w:t>
            </w:r>
          </w:p>
        </w:tc>
        <w:tc>
          <w:tcPr>
            <w:tcW w:type="dxa" w:w="864"/>
            <w:shd w:val="clear" w:color="auto" w:fill="FFFFFF"/>
          </w:tcPr>
          <w:p>
            <w:r>
              <w:rPr>
                <w:sz w:val="19"/>
              </w:rPr>
            </w:r>
          </w:p>
        </w:tc>
        <w:tc>
          <w:tcPr>
            <w:tcW w:type="dxa" w:w="2160"/>
            <w:shd w:val="clear" w:color="auto" w:fill="FFFFFF"/>
          </w:tcPr>
          <w:p>
            <w:r>
              <w:rPr>
                <w:sz w:val="19"/>
              </w:rPr>
            </w:r>
          </w:p>
        </w:tc>
        <w:tc>
          <w:tcPr>
            <w:tcW w:type="dxa" w:w="1080"/>
            <w:shd w:val="clear" w:color="auto" w:fill="FFFFFF"/>
          </w:tcPr>
          <w:p>
            <w:r>
              <w:rPr>
                <w:sz w:val="19"/>
              </w:rPr>
            </w:r>
          </w:p>
        </w:tc>
        <w:tc>
          <w:tcPr>
            <w:tcW w:type="dxa" w:w="1152"/>
            <w:shd w:val="clear" w:color="auto" w:fill="FFFFFF"/>
          </w:tcPr>
          <w:p>
            <w:r>
              <w:rPr>
                <w:sz w:val="19"/>
              </w:rPr>
              <w:t>~$181</w:t>
            </w:r>
          </w:p>
        </w:tc>
        <w:tc>
          <w:tcPr>
            <w:tcW w:type="dxa" w:w="864"/>
            <w:shd w:val="clear" w:color="auto" w:fill="FFFFFF"/>
          </w:tcPr>
          <w:p>
            <w:r>
              <w:rPr>
                <w:sz w:val="19"/>
              </w:rPr>
              <w:t>+48%</w:t>
            </w:r>
          </w:p>
        </w:tc>
        <w:tc>
          <w:tcPr>
            <w:tcW w:type="dxa" w:w="1080"/>
            <w:shd w:val="clear" w:color="auto" w:fill="FFFFFF"/>
          </w:tcPr>
          <w:p>
            <w:r>
              <w:rPr>
                <w:sz w:val="19"/>
              </w:rPr>
              <w:t>100%</w:t>
            </w:r>
          </w:p>
        </w:tc>
      </w:tr>
    </w:tbl>
    <w:p>
      <w:pPr>
        <w:spacing w:before="320" w:after="80"/>
        <w:pBdr>
          <w:bottom w:val="single" w:sz="6" w:space="1" w:color="1A376C"/>
        </w:pBdr>
      </w:pPr>
      <w:r>
        <w:rPr>
          <w:b/>
          <w:color w:val="1A376C"/>
          <w:sz w:val="23"/>
        </w:rPr>
        <w:t>10. MARGIN OF SAFETY — GRAHAM FRAMEWORK</w:t>
      </w:r>
      <w:r>
        <w:rPr>
          <w:i/>
          <w:color w:val="555555"/>
          <w:sz w:val="18"/>
        </w:rPr>
        <w:t xml:space="preserve">  [Value Investing — Step 5]</w:t>
      </w:r>
    </w:p>
    <w:tbl>
      <w:tblPr>
        <w:tblStyle w:val="TableGrid"/>
        <w:tblW w:type="auto" w:w="0"/>
        <w:jc w:val="center"/>
        <w:tblLook w:firstColumn="1" w:firstRow="1" w:lastColumn="0" w:lastRow="0" w:noHBand="0" w:noVBand="1" w:val="04A0"/>
      </w:tblPr>
      <w:tblGrid>
        <w:gridCol w:w="4536"/>
        <w:gridCol w:w="4536"/>
      </w:tblGrid>
      <w:tr>
        <w:tc>
          <w:tcPr>
            <w:tcW w:type="dxa" w:w="4608"/>
            <w:shd w:val="clear" w:color="auto" w:fill="1A376C"/>
          </w:tcPr>
          <w:p>
            <w:r>
              <w:rPr>
                <w:b/>
                <w:color w:val="FFFFFF"/>
                <w:sz w:val="19"/>
              </w:rPr>
              <w:t>Measure</w:t>
            </w:r>
          </w:p>
        </w:tc>
        <w:tc>
          <w:tcPr>
            <w:tcW w:type="dxa" w:w="4896"/>
            <w:shd w:val="clear" w:color="auto" w:fill="1A376C"/>
          </w:tcPr>
          <w:p>
            <w:r>
              <w:rPr>
                <w:b/>
                <w:color w:val="FFFFFF"/>
                <w:sz w:val="19"/>
              </w:rPr>
              <w:t>Value</w:t>
            </w:r>
          </w:p>
        </w:tc>
      </w:tr>
      <w:tr>
        <w:tc>
          <w:tcPr>
            <w:tcW w:type="dxa" w:w="4608"/>
            <w:shd w:val="clear" w:color="auto" w:fill="F4F6FB"/>
          </w:tcPr>
          <w:p>
            <w:r>
              <w:rPr>
                <w:sz w:val="19"/>
              </w:rPr>
              <w:t>Base Case Intrinsic Value</w:t>
            </w:r>
          </w:p>
        </w:tc>
        <w:tc>
          <w:tcPr>
            <w:tcW w:type="dxa" w:w="4896"/>
            <w:shd w:val="clear" w:color="auto" w:fill="F4F6FB"/>
          </w:tcPr>
          <w:p>
            <w:r>
              <w:rPr>
                <w:sz w:val="19"/>
              </w:rPr>
              <w:t>$174.00/ADS</w:t>
            </w:r>
          </w:p>
        </w:tc>
      </w:tr>
      <w:tr>
        <w:tc>
          <w:tcPr>
            <w:tcW w:type="dxa" w:w="4608"/>
            <w:shd w:val="clear" w:color="auto" w:fill="FFFFFF"/>
          </w:tcPr>
          <w:p>
            <w:r>
              <w:rPr>
                <w:sz w:val="19"/>
              </w:rPr>
              <w:t>30% Margin of Safety Buy Price</w:t>
            </w:r>
          </w:p>
        </w:tc>
        <w:tc>
          <w:tcPr>
            <w:tcW w:type="dxa" w:w="4896"/>
            <w:shd w:val="clear" w:color="auto" w:fill="FFFFFF"/>
          </w:tcPr>
          <w:p>
            <w:r>
              <w:rPr>
                <w:sz w:val="19"/>
              </w:rPr>
              <w:t>$121.80/ADS</w:t>
            </w:r>
          </w:p>
        </w:tc>
      </w:tr>
      <w:tr>
        <w:tc>
          <w:tcPr>
            <w:tcW w:type="dxa" w:w="4608"/>
            <w:shd w:val="clear" w:color="auto" w:fill="F4F6FB"/>
          </w:tcPr>
          <w:p>
            <w:r>
              <w:rPr>
                <w:sz w:val="19"/>
              </w:rPr>
              <w:t>Current Price (April 4, 2026)</w:t>
            </w:r>
          </w:p>
        </w:tc>
        <w:tc>
          <w:tcPr>
            <w:tcW w:type="dxa" w:w="4896"/>
            <w:shd w:val="clear" w:color="auto" w:fill="F4F6FB"/>
          </w:tcPr>
          <w:p>
            <w:r>
              <w:rPr>
                <w:sz w:val="19"/>
              </w:rPr>
              <w:t>$122.05/ADS</w:t>
            </w:r>
          </w:p>
        </w:tc>
      </w:tr>
      <w:tr>
        <w:tc>
          <w:tcPr>
            <w:tcW w:type="dxa" w:w="4608"/>
            <w:shd w:val="clear" w:color="auto" w:fill="FFFFFF"/>
          </w:tcPr>
          <w:p>
            <w:r>
              <w:rPr>
                <w:sz w:val="19"/>
              </w:rPr>
              <w:t>Current Discount to Base IV</w:t>
            </w:r>
          </w:p>
        </w:tc>
        <w:tc>
          <w:tcPr>
            <w:tcW w:type="dxa" w:w="4896"/>
            <w:shd w:val="clear" w:color="auto" w:fill="FFFFFF"/>
          </w:tcPr>
          <w:p>
            <w:r>
              <w:rPr>
                <w:sz w:val="19"/>
              </w:rPr>
              <w:t>29.9% — AT the 30% threshold</w:t>
            </w:r>
          </w:p>
        </w:tc>
      </w:tr>
      <w:tr>
        <w:tc>
          <w:tcPr>
            <w:tcW w:type="dxa" w:w="4608"/>
            <w:shd w:val="clear" w:color="auto" w:fill="F4F6FB"/>
          </w:tcPr>
          <w:p>
            <w:r>
              <w:rPr>
                <w:sz w:val="19"/>
              </w:rPr>
              <w:t>Bear-Case Intrinsic Value</w:t>
            </w:r>
          </w:p>
        </w:tc>
        <w:tc>
          <w:tcPr>
            <w:tcW w:type="dxa" w:w="4896"/>
            <w:shd w:val="clear" w:color="auto" w:fill="F4F6FB"/>
          </w:tcPr>
          <w:p>
            <w:r>
              <w:rPr>
                <w:sz w:val="19"/>
              </w:rPr>
              <w:t>$78/ADS</w:t>
            </w:r>
          </w:p>
        </w:tc>
      </w:tr>
      <w:tr>
        <w:tc>
          <w:tcPr>
            <w:tcW w:type="dxa" w:w="4608"/>
            <w:shd w:val="clear" w:color="auto" w:fill="FFFFFF"/>
          </w:tcPr>
          <w:p>
            <w:r>
              <w:rPr>
                <w:sz w:val="19"/>
              </w:rPr>
              <w:t>Current Premium to Bear Case</w:t>
            </w:r>
          </w:p>
        </w:tc>
        <w:tc>
          <w:tcPr>
            <w:tcW w:type="dxa" w:w="4896"/>
            <w:shd w:val="clear" w:color="auto" w:fill="FFFFFF"/>
          </w:tcPr>
          <w:p>
            <w:r>
              <w:rPr>
                <w:sz w:val="19"/>
              </w:rPr>
              <w:t>+56.5% above bear case (limited downside protection vs bear)</w:t>
            </w:r>
          </w:p>
        </w:tc>
      </w:tr>
      <w:tr>
        <w:tc>
          <w:tcPr>
            <w:tcW w:type="dxa" w:w="4608"/>
            <w:shd w:val="clear" w:color="auto" w:fill="F4F6FB"/>
          </w:tcPr>
          <w:p>
            <w:r>
              <w:rPr>
                <w:sz w:val="19"/>
              </w:rPr>
              <w:t>Probability-Weighted IV</w:t>
            </w:r>
          </w:p>
        </w:tc>
        <w:tc>
          <w:tcPr>
            <w:tcW w:type="dxa" w:w="4896"/>
            <w:shd w:val="clear" w:color="auto" w:fill="F4F6FB"/>
          </w:tcPr>
          <w:p>
            <w:r>
              <w:rPr>
                <w:sz w:val="19"/>
              </w:rPr>
              <w:t>~$181/ADS</w:t>
            </w:r>
          </w:p>
        </w:tc>
      </w:tr>
      <w:tr>
        <w:tc>
          <w:tcPr>
            <w:tcW w:type="dxa" w:w="4608"/>
            <w:shd w:val="clear" w:color="auto" w:fill="FFFFFF"/>
          </w:tcPr>
          <w:p>
            <w:r>
              <w:rPr>
                <w:sz w:val="19"/>
              </w:rPr>
              <w:t>Discount to Prob.-Weighted IV</w:t>
            </w:r>
          </w:p>
        </w:tc>
        <w:tc>
          <w:tcPr>
            <w:tcW w:type="dxa" w:w="4896"/>
            <w:shd w:val="clear" w:color="auto" w:fill="FFFFFF"/>
          </w:tcPr>
          <w:p>
            <w:r>
              <w:rPr>
                <w:sz w:val="19"/>
              </w:rPr>
              <w:t>32.6%</w:t>
            </w:r>
          </w:p>
        </w:tc>
      </w:tr>
      <w:tr>
        <w:tc>
          <w:tcPr>
            <w:tcW w:type="dxa" w:w="4608"/>
            <w:shd w:val="clear" w:color="auto" w:fill="F4F6FB"/>
          </w:tcPr>
          <w:p>
            <w:r>
              <w:rPr>
                <w:sz w:val="19"/>
              </w:rPr>
              <w:t>Graham MoS Threshold (25–35%)</w:t>
            </w:r>
          </w:p>
        </w:tc>
        <w:tc>
          <w:tcPr>
            <w:tcW w:type="dxa" w:w="4896"/>
            <w:shd w:val="clear" w:color="auto" w:fill="F4F6FB"/>
          </w:tcPr>
          <w:p>
            <w:r>
              <w:rPr>
                <w:sz w:val="19"/>
              </w:rPr>
              <w:t>JUST MET on base case; NOT met on bear case</w:t>
            </w:r>
          </w:p>
        </w:tc>
      </w:tr>
      <w:tr>
        <w:tc>
          <w:tcPr>
            <w:tcW w:type="dxa" w:w="4608"/>
            <w:shd w:val="clear" w:color="auto" w:fill="FFFFFF"/>
          </w:tcPr>
          <w:p>
            <w:r>
              <w:rPr>
                <w:sz w:val="19"/>
              </w:rPr>
              <w:t>Verdict</w:t>
            </w:r>
          </w:p>
        </w:tc>
        <w:tc>
          <w:tcPr>
            <w:tcW w:type="dxa" w:w="4896"/>
            <w:shd w:val="clear" w:color="auto" w:fill="FFFFFF"/>
          </w:tcPr>
          <w:p>
            <w:r>
              <w:rPr>
                <w:sz w:val="19"/>
              </w:rPr>
              <w:t>BUY — but margin is thin; HIGH China risk means bear case must be sized</w:t>
            </w:r>
          </w:p>
        </w:tc>
      </w:tr>
    </w:tbl>
    <w:p>
      <w:pPr>
        <w:spacing w:before="80" w:after="100"/>
      </w:pPr>
      <w:r>
        <w:rPr>
          <w:b w:val="0"/>
          <w:i w:val="0"/>
          <w:color w:val="D97706"/>
          <w:sz w:val="21"/>
        </w:rPr>
        <w:t>HONEST ASSESSMENT: Unlike PYPL which was 56% below base-case IV, BABA is only AT the 30% MoS threshold. The critical difference is BABA's China risk — the bear case at $78 implies a 36% downside from current prices if geopolitical/VIE risk materializes. The investment requires deliberate China risk tolerance and appropriate position sizing.</w:t>
      </w:r>
    </w:p>
    <w:p>
      <w:pPr>
        <w:spacing w:before="320" w:after="80"/>
        <w:pBdr>
          <w:bottom w:val="single" w:sz="6" w:space="1" w:color="1A376C"/>
        </w:pBdr>
      </w:pPr>
      <w:r>
        <w:rPr>
          <w:b/>
          <w:color w:val="1A376C"/>
          <w:sz w:val="23"/>
        </w:rPr>
        <w:t>11. PEER COMPARISON</w:t>
      </w:r>
      <w:r>
        <w:rPr>
          <w:i/>
          <w:color w:val="555555"/>
          <w:sz w:val="18"/>
        </w:rPr>
        <w:t xml:space="preserve">  [Trading Ideas — Fundamental Analysis]</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872"/>
            <w:shd w:val="clear" w:color="auto" w:fill="1A376C"/>
          </w:tcPr>
          <w:p>
            <w:r>
              <w:rPr>
                <w:b/>
                <w:color w:val="FFFFFF"/>
                <w:sz w:val="19"/>
              </w:rPr>
              <w:t>Company</w:t>
            </w:r>
          </w:p>
        </w:tc>
        <w:tc>
          <w:tcPr>
            <w:tcW w:type="dxa" w:w="1008"/>
            <w:shd w:val="clear" w:color="auto" w:fill="1A376C"/>
          </w:tcPr>
          <w:p>
            <w:r>
              <w:rPr>
                <w:b/>
                <w:color w:val="FFFFFF"/>
                <w:sz w:val="19"/>
              </w:rPr>
              <w:t>Price</w:t>
            </w:r>
          </w:p>
        </w:tc>
        <w:tc>
          <w:tcPr>
            <w:tcW w:type="dxa" w:w="1296"/>
            <w:shd w:val="clear" w:color="auto" w:fill="1A376C"/>
          </w:tcPr>
          <w:p>
            <w:r>
              <w:rPr>
                <w:b/>
                <w:color w:val="FFFFFF"/>
                <w:sz w:val="19"/>
              </w:rPr>
              <w:t>Mkt Cap</w:t>
            </w:r>
          </w:p>
        </w:tc>
        <w:tc>
          <w:tcPr>
            <w:tcW w:type="dxa" w:w="1296"/>
            <w:shd w:val="clear" w:color="auto" w:fill="1A376C"/>
          </w:tcPr>
          <w:p>
            <w:r>
              <w:rPr>
                <w:b/>
                <w:color w:val="FFFFFF"/>
                <w:sz w:val="19"/>
              </w:rPr>
              <w:t>Trailing P/E</w:t>
            </w:r>
          </w:p>
        </w:tc>
        <w:tc>
          <w:tcPr>
            <w:tcW w:type="dxa" w:w="1296"/>
            <w:shd w:val="clear" w:color="auto" w:fill="1A376C"/>
          </w:tcPr>
          <w:p>
            <w:r>
              <w:rPr>
                <w:b/>
                <w:color w:val="FFFFFF"/>
                <w:sz w:val="19"/>
              </w:rPr>
              <w:t>Rev Growth</w:t>
            </w:r>
          </w:p>
        </w:tc>
        <w:tc>
          <w:tcPr>
            <w:tcW w:type="dxa" w:w="1296"/>
            <w:shd w:val="clear" w:color="auto" w:fill="1A376C"/>
          </w:tcPr>
          <w:p>
            <w:r>
              <w:rPr>
                <w:b/>
                <w:color w:val="FFFFFF"/>
                <w:sz w:val="19"/>
              </w:rPr>
              <w:t>FCF Yield</w:t>
            </w:r>
          </w:p>
        </w:tc>
        <w:tc>
          <w:tcPr>
            <w:tcW w:type="dxa" w:w="2304"/>
            <w:shd w:val="clear" w:color="auto" w:fill="1A376C"/>
          </w:tcPr>
          <w:p>
            <w:r>
              <w:rPr>
                <w:b/>
                <w:color w:val="FFFFFF"/>
                <w:sz w:val="19"/>
              </w:rPr>
              <w:t>Cloud Position</w:t>
            </w:r>
          </w:p>
        </w:tc>
        <w:tc>
          <w:tcPr>
            <w:tcW w:type="dxa" w:w="1584"/>
            <w:shd w:val="clear" w:color="auto" w:fill="1A376C"/>
          </w:tcPr>
          <w:p>
            <w:r>
              <w:rPr>
                <w:b/>
                <w:color w:val="FFFFFF"/>
                <w:sz w:val="19"/>
              </w:rPr>
              <w:t>Key Risk</w:t>
            </w:r>
          </w:p>
        </w:tc>
      </w:tr>
      <w:tr>
        <w:tc>
          <w:tcPr>
            <w:tcW w:type="dxa" w:w="1872"/>
            <w:shd w:val="clear" w:color="auto" w:fill="F4F6FB"/>
          </w:tcPr>
          <w:p>
            <w:r>
              <w:rPr>
                <w:sz w:val="19"/>
              </w:rPr>
              <w:t>Alibaba (BABA)</w:t>
            </w:r>
          </w:p>
        </w:tc>
        <w:tc>
          <w:tcPr>
            <w:tcW w:type="dxa" w:w="1008"/>
            <w:shd w:val="clear" w:color="auto" w:fill="F4F6FB"/>
          </w:tcPr>
          <w:p>
            <w:r>
              <w:rPr>
                <w:sz w:val="19"/>
              </w:rPr>
              <w:t>$122</w:t>
            </w:r>
          </w:p>
        </w:tc>
        <w:tc>
          <w:tcPr>
            <w:tcW w:type="dxa" w:w="1296"/>
            <w:shd w:val="clear" w:color="auto" w:fill="F4F6FB"/>
          </w:tcPr>
          <w:p>
            <w:r>
              <w:rPr>
                <w:sz w:val="19"/>
              </w:rPr>
              <w:t>~$297B</w:t>
            </w:r>
          </w:p>
        </w:tc>
        <w:tc>
          <w:tcPr>
            <w:tcW w:type="dxa" w:w="1296"/>
            <w:shd w:val="clear" w:color="auto" w:fill="F4F6FB"/>
          </w:tcPr>
          <w:p>
            <w:r>
              <w:rPr>
                <w:sz w:val="19"/>
              </w:rPr>
              <w:t>23.4x</w:t>
            </w:r>
          </w:p>
        </w:tc>
        <w:tc>
          <w:tcPr>
            <w:tcW w:type="dxa" w:w="1296"/>
            <w:shd w:val="clear" w:color="auto" w:fill="F4F6FB"/>
          </w:tcPr>
          <w:p>
            <w:r>
              <w:rPr>
                <w:sz w:val="19"/>
              </w:rPr>
              <w:t>5.3%</w:t>
            </w:r>
          </w:p>
        </w:tc>
        <w:tc>
          <w:tcPr>
            <w:tcW w:type="dxa" w:w="1296"/>
            <w:shd w:val="clear" w:color="auto" w:fill="F4F6FB"/>
          </w:tcPr>
          <w:p>
            <w:r>
              <w:rPr>
                <w:sz w:val="19"/>
              </w:rPr>
              <w:t>7.7%</w:t>
            </w:r>
          </w:p>
        </w:tc>
        <w:tc>
          <w:tcPr>
            <w:tcW w:type="dxa" w:w="2304"/>
            <w:shd w:val="clear" w:color="auto" w:fill="F4F6FB"/>
          </w:tcPr>
          <w:p>
            <w:r>
              <w:rPr>
                <w:sz w:val="19"/>
              </w:rPr>
              <w:t>APAC #1 (34% growth)</w:t>
            </w:r>
          </w:p>
        </w:tc>
        <w:tc>
          <w:tcPr>
            <w:tcW w:type="dxa" w:w="1584"/>
            <w:shd w:val="clear" w:color="auto" w:fill="F4F6FB"/>
          </w:tcPr>
          <w:p>
            <w:r>
              <w:rPr>
                <w:sz w:val="19"/>
              </w:rPr>
              <w:t>China/VIE/CapEx</w:t>
            </w:r>
          </w:p>
        </w:tc>
      </w:tr>
      <w:tr>
        <w:tc>
          <w:tcPr>
            <w:tcW w:type="dxa" w:w="1872"/>
            <w:shd w:val="clear" w:color="auto" w:fill="FFFFFF"/>
          </w:tcPr>
          <w:p>
            <w:r>
              <w:rPr>
                <w:sz w:val="19"/>
              </w:rPr>
              <w:t>JD.com (JD)</w:t>
            </w:r>
          </w:p>
        </w:tc>
        <w:tc>
          <w:tcPr>
            <w:tcW w:type="dxa" w:w="1008"/>
            <w:shd w:val="clear" w:color="auto" w:fill="FFFFFF"/>
          </w:tcPr>
          <w:p>
            <w:r>
              <w:rPr>
                <w:sz w:val="19"/>
              </w:rPr>
              <w:t>~$45</w:t>
            </w:r>
          </w:p>
        </w:tc>
        <w:tc>
          <w:tcPr>
            <w:tcW w:type="dxa" w:w="1296"/>
            <w:shd w:val="clear" w:color="auto" w:fill="FFFFFF"/>
          </w:tcPr>
          <w:p>
            <w:r>
              <w:rPr>
                <w:sz w:val="19"/>
              </w:rPr>
              <w:t>~$70B</w:t>
            </w:r>
          </w:p>
        </w:tc>
        <w:tc>
          <w:tcPr>
            <w:tcW w:type="dxa" w:w="1296"/>
            <w:shd w:val="clear" w:color="auto" w:fill="FFFFFF"/>
          </w:tcPr>
          <w:p>
            <w:r>
              <w:rPr>
                <w:sz w:val="19"/>
              </w:rPr>
              <w:t>14.2x</w:t>
            </w:r>
          </w:p>
        </w:tc>
        <w:tc>
          <w:tcPr>
            <w:tcW w:type="dxa" w:w="1296"/>
            <w:shd w:val="clear" w:color="auto" w:fill="FFFFFF"/>
          </w:tcPr>
          <w:p>
            <w:r>
              <w:rPr>
                <w:sz w:val="19"/>
              </w:rPr>
              <w:t>8%</w:t>
            </w:r>
          </w:p>
        </w:tc>
        <w:tc>
          <w:tcPr>
            <w:tcW w:type="dxa" w:w="1296"/>
            <w:shd w:val="clear" w:color="auto" w:fill="FFFFFF"/>
          </w:tcPr>
          <w:p>
            <w:r>
              <w:rPr>
                <w:sz w:val="19"/>
              </w:rPr>
              <w:t>~4%</w:t>
            </w:r>
          </w:p>
        </w:tc>
        <w:tc>
          <w:tcPr>
            <w:tcW w:type="dxa" w:w="2304"/>
            <w:shd w:val="clear" w:color="auto" w:fill="FFFFFF"/>
          </w:tcPr>
          <w:p>
            <w:r>
              <w:rPr>
                <w:sz w:val="19"/>
              </w:rPr>
              <w:t>Logistics-focused</w:t>
            </w:r>
          </w:p>
        </w:tc>
        <w:tc>
          <w:tcPr>
            <w:tcW w:type="dxa" w:w="1584"/>
            <w:shd w:val="clear" w:color="auto" w:fill="FFFFFF"/>
          </w:tcPr>
          <w:p>
            <w:r>
              <w:rPr>
                <w:sz w:val="19"/>
              </w:rPr>
              <w:t>Thin margins</w:t>
            </w:r>
          </w:p>
        </w:tc>
      </w:tr>
      <w:tr>
        <w:tc>
          <w:tcPr>
            <w:tcW w:type="dxa" w:w="1872"/>
            <w:shd w:val="clear" w:color="auto" w:fill="F4F6FB"/>
          </w:tcPr>
          <w:p>
            <w:r>
              <w:rPr>
                <w:sz w:val="19"/>
              </w:rPr>
              <w:t>PDD Holdings (PDD)</w:t>
            </w:r>
          </w:p>
        </w:tc>
        <w:tc>
          <w:tcPr>
            <w:tcW w:type="dxa" w:w="1008"/>
            <w:shd w:val="clear" w:color="auto" w:fill="F4F6FB"/>
          </w:tcPr>
          <w:p>
            <w:r>
              <w:rPr>
                <w:sz w:val="19"/>
              </w:rPr>
              <w:t>~$115</w:t>
            </w:r>
          </w:p>
        </w:tc>
        <w:tc>
          <w:tcPr>
            <w:tcW w:type="dxa" w:w="1296"/>
            <w:shd w:val="clear" w:color="auto" w:fill="F4F6FB"/>
          </w:tcPr>
          <w:p>
            <w:r>
              <w:rPr>
                <w:sz w:val="19"/>
              </w:rPr>
              <w:t>~$155B</w:t>
            </w:r>
          </w:p>
        </w:tc>
        <w:tc>
          <w:tcPr>
            <w:tcW w:type="dxa" w:w="1296"/>
            <w:shd w:val="clear" w:color="auto" w:fill="F4F6FB"/>
          </w:tcPr>
          <w:p>
            <w:r>
              <w:rPr>
                <w:sz w:val="19"/>
              </w:rPr>
              <w:t>9.95x</w:t>
            </w:r>
          </w:p>
        </w:tc>
        <w:tc>
          <w:tcPr>
            <w:tcW w:type="dxa" w:w="1296"/>
            <w:shd w:val="clear" w:color="auto" w:fill="F4F6FB"/>
          </w:tcPr>
          <w:p>
            <w:r>
              <w:rPr>
                <w:sz w:val="19"/>
              </w:rPr>
              <w:t>~30%</w:t>
            </w:r>
          </w:p>
        </w:tc>
        <w:tc>
          <w:tcPr>
            <w:tcW w:type="dxa" w:w="1296"/>
            <w:shd w:val="clear" w:color="auto" w:fill="F4F6FB"/>
          </w:tcPr>
          <w:p>
            <w:r>
              <w:rPr>
                <w:sz w:val="19"/>
              </w:rPr>
              <w:t>~8%</w:t>
            </w:r>
          </w:p>
        </w:tc>
        <w:tc>
          <w:tcPr>
            <w:tcW w:type="dxa" w:w="2304"/>
            <w:shd w:val="clear" w:color="auto" w:fill="F4F6FB"/>
          </w:tcPr>
          <w:p>
            <w:r>
              <w:rPr>
                <w:sz w:val="19"/>
              </w:rPr>
              <w:t>None</w:t>
            </w:r>
          </w:p>
        </w:tc>
        <w:tc>
          <w:tcPr>
            <w:tcW w:type="dxa" w:w="1584"/>
            <w:shd w:val="clear" w:color="auto" w:fill="F4F6FB"/>
          </w:tcPr>
          <w:p>
            <w:r>
              <w:rPr>
                <w:sz w:val="19"/>
              </w:rPr>
              <w:t>Regulatory scrutiny</w:t>
            </w:r>
          </w:p>
        </w:tc>
      </w:tr>
      <w:tr>
        <w:tc>
          <w:tcPr>
            <w:tcW w:type="dxa" w:w="1872"/>
            <w:shd w:val="clear" w:color="auto" w:fill="FFFFFF"/>
          </w:tcPr>
          <w:p>
            <w:r>
              <w:rPr>
                <w:sz w:val="19"/>
              </w:rPr>
              <w:t>Tencent (TCEHY)</w:t>
            </w:r>
          </w:p>
        </w:tc>
        <w:tc>
          <w:tcPr>
            <w:tcW w:type="dxa" w:w="1008"/>
            <w:shd w:val="clear" w:color="auto" w:fill="FFFFFF"/>
          </w:tcPr>
          <w:p>
            <w:r>
              <w:rPr>
                <w:sz w:val="19"/>
              </w:rPr>
              <w:t>~$58</w:t>
            </w:r>
          </w:p>
        </w:tc>
        <w:tc>
          <w:tcPr>
            <w:tcW w:type="dxa" w:w="1296"/>
            <w:shd w:val="clear" w:color="auto" w:fill="FFFFFF"/>
          </w:tcPr>
          <w:p>
            <w:r>
              <w:rPr>
                <w:sz w:val="19"/>
              </w:rPr>
              <w:t>~$780B</w:t>
            </w:r>
          </w:p>
        </w:tc>
        <w:tc>
          <w:tcPr>
            <w:tcW w:type="dxa" w:w="1296"/>
            <w:shd w:val="clear" w:color="auto" w:fill="FFFFFF"/>
          </w:tcPr>
          <w:p>
            <w:r>
              <w:rPr>
                <w:sz w:val="19"/>
              </w:rPr>
              <w:t>~22x</w:t>
            </w:r>
          </w:p>
        </w:tc>
        <w:tc>
          <w:tcPr>
            <w:tcW w:type="dxa" w:w="1296"/>
            <w:shd w:val="clear" w:color="auto" w:fill="FFFFFF"/>
          </w:tcPr>
          <w:p>
            <w:r>
              <w:rPr>
                <w:sz w:val="19"/>
              </w:rPr>
              <w:t>~8%</w:t>
            </w:r>
          </w:p>
        </w:tc>
        <w:tc>
          <w:tcPr>
            <w:tcW w:type="dxa" w:w="1296"/>
            <w:shd w:val="clear" w:color="auto" w:fill="FFFFFF"/>
          </w:tcPr>
          <w:p>
            <w:r>
              <w:rPr>
                <w:sz w:val="19"/>
              </w:rPr>
              <w:t>~3.5%</w:t>
            </w:r>
          </w:p>
        </w:tc>
        <w:tc>
          <w:tcPr>
            <w:tcW w:type="dxa" w:w="2304"/>
            <w:shd w:val="clear" w:color="auto" w:fill="FFFFFF"/>
          </w:tcPr>
          <w:p>
            <w:r>
              <w:rPr>
                <w:sz w:val="19"/>
              </w:rPr>
              <w:t>Competitor</w:t>
            </w:r>
          </w:p>
        </w:tc>
        <w:tc>
          <w:tcPr>
            <w:tcW w:type="dxa" w:w="1584"/>
            <w:shd w:val="clear" w:color="auto" w:fill="FFFFFF"/>
          </w:tcPr>
          <w:p>
            <w:r>
              <w:rPr>
                <w:sz w:val="19"/>
              </w:rPr>
              <w:t>Same China risk</w:t>
            </w:r>
          </w:p>
        </w:tc>
      </w:tr>
      <w:tr>
        <w:tc>
          <w:tcPr>
            <w:tcW w:type="dxa" w:w="1872"/>
            <w:shd w:val="clear" w:color="auto" w:fill="F4F6FB"/>
          </w:tcPr>
          <w:p>
            <w:r>
              <w:rPr>
                <w:sz w:val="19"/>
              </w:rPr>
              <w:t>Amazon (AMZN)</w:t>
            </w:r>
          </w:p>
        </w:tc>
        <w:tc>
          <w:tcPr>
            <w:tcW w:type="dxa" w:w="1008"/>
            <w:shd w:val="clear" w:color="auto" w:fill="F4F6FB"/>
          </w:tcPr>
          <w:p>
            <w:r>
              <w:rPr>
                <w:sz w:val="19"/>
              </w:rPr>
              <w:t>~$190</w:t>
            </w:r>
          </w:p>
        </w:tc>
        <w:tc>
          <w:tcPr>
            <w:tcW w:type="dxa" w:w="1296"/>
            <w:shd w:val="clear" w:color="auto" w:fill="F4F6FB"/>
          </w:tcPr>
          <w:p>
            <w:r>
              <w:rPr>
                <w:sz w:val="19"/>
              </w:rPr>
              <w:t>~$2T</w:t>
            </w:r>
          </w:p>
        </w:tc>
        <w:tc>
          <w:tcPr>
            <w:tcW w:type="dxa" w:w="1296"/>
            <w:shd w:val="clear" w:color="auto" w:fill="F4F6FB"/>
          </w:tcPr>
          <w:p>
            <w:r>
              <w:rPr>
                <w:sz w:val="19"/>
              </w:rPr>
              <w:t>~35x</w:t>
            </w:r>
          </w:p>
        </w:tc>
        <w:tc>
          <w:tcPr>
            <w:tcW w:type="dxa" w:w="1296"/>
            <w:shd w:val="clear" w:color="auto" w:fill="F4F6FB"/>
          </w:tcPr>
          <w:p>
            <w:r>
              <w:rPr>
                <w:sz w:val="19"/>
              </w:rPr>
              <w:t>11%</w:t>
            </w:r>
          </w:p>
        </w:tc>
        <w:tc>
          <w:tcPr>
            <w:tcW w:type="dxa" w:w="1296"/>
            <w:shd w:val="clear" w:color="auto" w:fill="F4F6FB"/>
          </w:tcPr>
          <w:p>
            <w:r>
              <w:rPr>
                <w:sz w:val="19"/>
              </w:rPr>
              <w:t>~3.5%</w:t>
            </w:r>
          </w:p>
        </w:tc>
        <w:tc>
          <w:tcPr>
            <w:tcW w:type="dxa" w:w="2304"/>
            <w:shd w:val="clear" w:color="auto" w:fill="F4F6FB"/>
          </w:tcPr>
          <w:p>
            <w:r>
              <w:rPr>
                <w:sz w:val="19"/>
              </w:rPr>
              <w:t>AWS #1 Global</w:t>
            </w:r>
          </w:p>
        </w:tc>
        <w:tc>
          <w:tcPr>
            <w:tcW w:type="dxa" w:w="1584"/>
            <w:shd w:val="clear" w:color="auto" w:fill="F4F6FB"/>
          </w:tcPr>
          <w:p>
            <w:r>
              <w:rPr>
                <w:sz w:val="19"/>
              </w:rPr>
              <w:t>Regulatory</w:t>
            </w:r>
          </w:p>
        </w:tc>
      </w:tr>
      <w:tr>
        <w:tc>
          <w:tcPr>
            <w:tcW w:type="dxa" w:w="1872"/>
            <w:shd w:val="clear" w:color="auto" w:fill="FFFFFF"/>
          </w:tcPr>
          <w:p>
            <w:r>
              <w:rPr>
                <w:sz w:val="19"/>
              </w:rPr>
              <w:t>Microsoft (MSFT)</w:t>
            </w:r>
          </w:p>
        </w:tc>
        <w:tc>
          <w:tcPr>
            <w:tcW w:type="dxa" w:w="1008"/>
            <w:shd w:val="clear" w:color="auto" w:fill="FFFFFF"/>
          </w:tcPr>
          <w:p>
            <w:r>
              <w:rPr>
                <w:sz w:val="19"/>
              </w:rPr>
              <w:t>~$380</w:t>
            </w:r>
          </w:p>
        </w:tc>
        <w:tc>
          <w:tcPr>
            <w:tcW w:type="dxa" w:w="1296"/>
            <w:shd w:val="clear" w:color="auto" w:fill="FFFFFF"/>
          </w:tcPr>
          <w:p>
            <w:r>
              <w:rPr>
                <w:sz w:val="19"/>
              </w:rPr>
              <w:t>~$2.8T</w:t>
            </w:r>
          </w:p>
        </w:tc>
        <w:tc>
          <w:tcPr>
            <w:tcW w:type="dxa" w:w="1296"/>
            <w:shd w:val="clear" w:color="auto" w:fill="FFFFFF"/>
          </w:tcPr>
          <w:p>
            <w:r>
              <w:rPr>
                <w:sz w:val="19"/>
              </w:rPr>
              <w:t>~30x</w:t>
            </w:r>
          </w:p>
        </w:tc>
        <w:tc>
          <w:tcPr>
            <w:tcW w:type="dxa" w:w="1296"/>
            <w:shd w:val="clear" w:color="auto" w:fill="FFFFFF"/>
          </w:tcPr>
          <w:p>
            <w:r>
              <w:rPr>
                <w:sz w:val="19"/>
              </w:rPr>
              <w:t>13%</w:t>
            </w:r>
          </w:p>
        </w:tc>
        <w:tc>
          <w:tcPr>
            <w:tcW w:type="dxa" w:w="1296"/>
            <w:shd w:val="clear" w:color="auto" w:fill="FFFFFF"/>
          </w:tcPr>
          <w:p>
            <w:r>
              <w:rPr>
                <w:sz w:val="19"/>
              </w:rPr>
              <w:t>~2.5%</w:t>
            </w:r>
          </w:p>
        </w:tc>
        <w:tc>
          <w:tcPr>
            <w:tcW w:type="dxa" w:w="2304"/>
            <w:shd w:val="clear" w:color="auto" w:fill="FFFFFF"/>
          </w:tcPr>
          <w:p>
            <w:r>
              <w:rPr>
                <w:sz w:val="19"/>
              </w:rPr>
              <w:t>Azure #2 Global</w:t>
            </w:r>
          </w:p>
        </w:tc>
        <w:tc>
          <w:tcPr>
            <w:tcW w:type="dxa" w:w="1584"/>
            <w:shd w:val="clear" w:color="auto" w:fill="FFFFFF"/>
          </w:tcPr>
          <w:p>
            <w:r>
              <w:rPr>
                <w:sz w:val="19"/>
              </w:rPr>
              <w:t>Antitrust</w:t>
            </w:r>
          </w:p>
        </w:tc>
      </w:tr>
    </w:tbl>
    <w:p>
      <w:pPr>
        <w:spacing w:before="0" w:after="100"/>
      </w:pPr>
      <w:r>
        <w:rPr>
          <w:b w:val="0"/>
          <w:i w:val="0"/>
          <w:sz w:val="21"/>
        </w:rPr>
        <w:t>Valuation Takeaway: BABA at 23.4x trailing P/E looks expensive vs PDD (10x) and JD (14x), but BABA's cloud business growing 34% deserves a premium over pure-play e-commerce peers. On an EV/FCF basis (~10.8x based on $248B EV / $22.87B FY2025 FCF), BABA is dramatically cheaper than AWS-equivalent US cloud comps. The CapEx cycle means FY2026E FCF-based valuation is temporarily inflated — use normalized FCF or longer-term DCF for fair comparison.</w:t>
      </w:r>
    </w:p>
    <w:p>
      <w:pPr>
        <w:spacing w:before="320" w:after="80"/>
        <w:pBdr>
          <w:bottom w:val="single" w:sz="6" w:space="1" w:color="1A376C"/>
        </w:pBdr>
      </w:pPr>
      <w:r>
        <w:rPr>
          <w:b/>
          <w:color w:val="1A376C"/>
          <w:sz w:val="23"/>
        </w:rPr>
        <w:t>12. CATALYST ANALYSIS</w:t>
      </w:r>
      <w:r>
        <w:rPr>
          <w:i/>
          <w:color w:val="555555"/>
          <w:sz w:val="18"/>
        </w:rPr>
        <w:t xml:space="preserve">  [Trading Ideas]</w:t>
      </w:r>
    </w:p>
    <w:p>
      <w:pPr>
        <w:spacing w:before="120" w:after="100"/>
      </w:pPr>
      <w:r>
        <w:rPr>
          <w:b/>
          <w:i w:val="0"/>
          <w:sz w:val="21"/>
        </w:rPr>
        <w:t>Near-Term (0–6 Months)</w:t>
      </w:r>
    </w:p>
    <w:p>
      <w:pPr>
        <w:pStyle w:val="ListBullet"/>
        <w:spacing w:after="60"/>
      </w:pPr>
      <w:r>
        <w:rPr>
          <w:sz w:val="21"/>
        </w:rPr>
        <w:t>FY2026 Full-Year Earnings (est. May 2026) — First full-year report under the heavy CapEx cycle; any sign cloud revenue growth can absorb CapEx costs = re-rating trigger. Cloud growing 34% YoY.</w:t>
      </w:r>
    </w:p>
    <w:p>
      <w:pPr>
        <w:pStyle w:val="ListBullet"/>
        <w:spacing w:after="60"/>
      </w:pPr>
      <w:r>
        <w:rPr>
          <w:sz w:val="21"/>
        </w:rPr>
        <w:t>Q4 FY2026 results will clarify whether AI workload monetization (&gt;20% of external cloud revenue) is accelerating or stabilizing — the single most important metric to watch.</w:t>
      </w:r>
    </w:p>
    <w:p>
      <w:pPr>
        <w:pStyle w:val="ListBullet"/>
        <w:spacing w:after="60"/>
      </w:pPr>
      <w:r>
        <w:rPr>
          <w:sz w:val="21"/>
        </w:rPr>
        <w:t>$19.3B Buyback Remaining (through March 2027) — At $122/ADS, management can retire ~158M ADSs (6.5% of float) with remaining authorization. Highly accretive signal.</w:t>
      </w:r>
    </w:p>
    <w:p>
      <w:pPr>
        <w:pStyle w:val="ListBullet"/>
        <w:spacing w:after="60"/>
      </w:pPr>
      <w:r>
        <w:rPr>
          <w:sz w:val="21"/>
        </w:rPr>
        <w:t>Qwen AI Model Releases — Qwen 3 and subsequent releases competing with GPT-4o/Claude; open-source adoption drives cloud inference revenue and developer ecosystem stickiness.</w:t>
      </w:r>
    </w:p>
    <w:p>
      <w:pPr>
        <w:pStyle w:val="ListBullet"/>
        <w:spacing w:after="60"/>
      </w:pPr>
      <w:r>
        <w:rPr>
          <w:sz w:val="21"/>
        </w:rPr>
        <w:t>US-China Trade Negotiations — Any positive signal on trade tensions could trigger rapid re-rating; Treasury Secretary Bessent's 'everything on the table' comment (April 2025) was the catalyst for the recent selloff.</w:t>
      </w:r>
    </w:p>
    <w:p>
      <w:pPr>
        <w:spacing w:before="120" w:after="100"/>
      </w:pPr>
      <w:r>
        <w:rPr>
          <w:b/>
          <w:i w:val="0"/>
          <w:sz w:val="21"/>
        </w:rPr>
        <w:t>Medium-Term (6–24 Months)</w:t>
      </w:r>
    </w:p>
    <w:p>
      <w:pPr>
        <w:pStyle w:val="ListBullet"/>
        <w:spacing w:after="60"/>
      </w:pPr>
      <w:r>
        <w:rPr>
          <w:sz w:val="21"/>
        </w:rPr>
        <w:t>AI Monetization Inflection — AI workloads &gt;20% of external cloud revenue growing at triple-digit rates; if this reaches 40-50% within 2 years, BABA Cloud re-rates to AWS/Azure multiples.</w:t>
      </w:r>
    </w:p>
    <w:p>
      <w:pPr>
        <w:pStyle w:val="ListBullet"/>
        <w:spacing w:after="60"/>
      </w:pPr>
      <w:r>
        <w:rPr>
          <w:sz w:val="21"/>
        </w:rPr>
        <w:t>Taobao Instant Commerce — Leveraging 2M daily riders and 50K lightning warehouses; competing directly with Meituan; early data shows 20% DAU growth for Taobao app.</w:t>
      </w:r>
    </w:p>
    <w:p>
      <w:pPr>
        <w:pStyle w:val="ListBullet"/>
        <w:spacing w:after="60"/>
      </w:pPr>
      <w:r>
        <w:rPr>
          <w:sz w:val="21"/>
        </w:rPr>
        <w:t>International Commerce Profitability — AliExpress, Lazada, Trendyol scaling toward breakeven; hidden optionality that isn't valued in current market cap.</w:t>
      </w:r>
    </w:p>
    <w:p>
      <w:pPr>
        <w:pStyle w:val="ListBullet"/>
        <w:spacing w:after="60"/>
      </w:pPr>
      <w:r>
        <w:rPr>
          <w:sz w:val="21"/>
        </w:rPr>
        <w:t>CapEx Cycle Moderation (FY2028+) — Management committed to 3-year investment period; if cloud revenue exceeds investment return expectations, FCF recovery will exceed current forecasts.</w:t>
      </w:r>
    </w:p>
    <w:p>
      <w:pPr>
        <w:pStyle w:val="ListBullet"/>
        <w:spacing w:after="60"/>
      </w:pPr>
      <w:r>
        <w:rPr>
          <w:sz w:val="21"/>
        </w:rPr>
        <w:t>Hong Kong Dual Listing — Provides refuge from US delisting risk; HK investors increasingly active in the float, diversifying the institutional ownership mix.</w:t>
      </w:r>
    </w:p>
    <w:p>
      <w:pPr>
        <w:spacing w:before="120" w:after="100"/>
      </w:pPr>
      <w:r>
        <w:rPr>
          <w:b/>
          <w:i w:val="0"/>
          <w:sz w:val="21"/>
        </w:rPr>
        <w:t>Event-Driven</w:t>
      </w:r>
    </w:p>
    <w:p>
      <w:pPr>
        <w:pStyle w:val="ListBullet"/>
        <w:spacing w:after="60"/>
      </w:pPr>
      <w:r>
        <w:rPr>
          <w:sz w:val="21"/>
        </w:rPr>
        <w:t>US-China Trade Deal / Tariff Reduction — Single biggest potential positive catalyst; BABA could rally 30-50% on any meaningful diplomatic progress given it's a key China proxy for global funds.</w:t>
      </w:r>
    </w:p>
    <w:p>
      <w:pPr>
        <w:pStyle w:val="ListBullet"/>
        <w:spacing w:after="60"/>
      </w:pPr>
      <w:r>
        <w:rPr>
          <w:sz w:val="21"/>
        </w:rPr>
        <w:t>Stripe/Big Tech AI Partnership — Any Western tech partnership validating Alibaba Cloud/Qwen could trigger international investor re-engagement.</w:t>
      </w:r>
    </w:p>
    <w:p>
      <w:pPr>
        <w:pStyle w:val="ListBullet"/>
        <w:spacing w:after="60"/>
      </w:pPr>
      <w:r>
        <w:rPr>
          <w:sz w:val="21"/>
        </w:rPr>
        <w:t>Jack Ma Rehabilitation — Already partially re-emerged in 2023-2024; any formal government signal of support for Alibaba's leadership = sentiment catalyst.</w:t>
      </w:r>
    </w:p>
    <w:p>
      <w:pPr>
        <w:pStyle w:val="ListBullet"/>
        <w:spacing w:after="60"/>
      </w:pPr>
      <w:r>
        <w:rPr>
          <w:sz w:val="21"/>
        </w:rPr>
        <w:t>M&amp;A by Alibaba — $49B net cash provides firepower to acquire profitable businesses (international e-commerce, AI startups) that diversify the China risk.</w:t>
      </w:r>
    </w:p>
    <w:p>
      <w:pPr>
        <w:spacing w:before="320" w:after="80"/>
        <w:pBdr>
          <w:bottom w:val="single" w:sz="6" w:space="1" w:color="1A376C"/>
        </w:pBdr>
      </w:pPr>
      <w:r>
        <w:rPr>
          <w:b/>
          <w:color w:val="1A376C"/>
          <w:sz w:val="23"/>
        </w:rPr>
        <w:t>13. TECHNICAL CONTEXT &amp; OPTIONS INTELLIGENCE</w:t>
      </w:r>
      <w:r>
        <w:rPr>
          <w:i/>
          <w:color w:val="555555"/>
          <w:sz w:val="18"/>
        </w:rPr>
        <w:t xml:space="preserve">  [Trading Ideas]</w:t>
      </w:r>
    </w:p>
    <w:tbl>
      <w:tblPr>
        <w:tblStyle w:val="TableGrid"/>
        <w:tblW w:type="auto" w:w="0"/>
        <w:jc w:val="center"/>
        <w:tblLook w:firstColumn="1" w:firstRow="1" w:lastColumn="0" w:lastRow="0" w:noHBand="0" w:noVBand="1" w:val="04A0"/>
      </w:tblPr>
      <w:tblGrid>
        <w:gridCol w:w="4536"/>
        <w:gridCol w:w="4536"/>
      </w:tblGrid>
      <w:tr>
        <w:tc>
          <w:tcPr>
            <w:tcW w:type="dxa" w:w="3600"/>
            <w:shd w:val="clear" w:color="auto" w:fill="1A376C"/>
          </w:tcPr>
          <w:p>
            <w:r>
              <w:rPr>
                <w:b/>
                <w:color w:val="FFFFFF"/>
                <w:sz w:val="19"/>
              </w:rPr>
              <w:t>Indicator</w:t>
            </w:r>
          </w:p>
        </w:tc>
        <w:tc>
          <w:tcPr>
            <w:tcW w:type="dxa" w:w="6048"/>
            <w:shd w:val="clear" w:color="auto" w:fill="1A376C"/>
          </w:tcPr>
          <w:p>
            <w:r>
              <w:rPr>
                <w:b/>
                <w:color w:val="FFFFFF"/>
                <w:sz w:val="19"/>
              </w:rPr>
              <w:t>Reading</w:t>
            </w:r>
          </w:p>
        </w:tc>
      </w:tr>
      <w:tr>
        <w:tc>
          <w:tcPr>
            <w:tcW w:type="dxa" w:w="3600"/>
            <w:shd w:val="clear" w:color="auto" w:fill="F4F6FB"/>
          </w:tcPr>
          <w:p>
            <w:r>
              <w:rPr>
                <w:sz w:val="19"/>
              </w:rPr>
              <w:t>Current Price</w:t>
            </w:r>
          </w:p>
        </w:tc>
        <w:tc>
          <w:tcPr>
            <w:tcW w:type="dxa" w:w="6048"/>
            <w:shd w:val="clear" w:color="auto" w:fill="F4F6FB"/>
          </w:tcPr>
          <w:p>
            <w:r>
              <w:rPr>
                <w:sz w:val="19"/>
              </w:rPr>
              <w:t>$122.05 (ADR)</w:t>
            </w:r>
          </w:p>
        </w:tc>
      </w:tr>
      <w:tr>
        <w:tc>
          <w:tcPr>
            <w:tcW w:type="dxa" w:w="3600"/>
            <w:shd w:val="clear" w:color="auto" w:fill="FFFFFF"/>
          </w:tcPr>
          <w:p>
            <w:r>
              <w:rPr>
                <w:sz w:val="19"/>
              </w:rPr>
              <w:t>52-Week High</w:t>
            </w:r>
          </w:p>
        </w:tc>
        <w:tc>
          <w:tcPr>
            <w:tcW w:type="dxa" w:w="6048"/>
            <w:shd w:val="clear" w:color="auto" w:fill="FFFFFF"/>
          </w:tcPr>
          <w:p>
            <w:r>
              <w:rPr>
                <w:sz w:val="19"/>
              </w:rPr>
              <w:t>$192.67 (likely Jan–Feb 2025 AI/DeepSeek excitement peak)</w:t>
            </w:r>
          </w:p>
        </w:tc>
      </w:tr>
      <w:tr>
        <w:tc>
          <w:tcPr>
            <w:tcW w:type="dxa" w:w="3600"/>
            <w:shd w:val="clear" w:color="auto" w:fill="F4F6FB"/>
          </w:tcPr>
          <w:p>
            <w:r>
              <w:rPr>
                <w:sz w:val="19"/>
              </w:rPr>
              <w:t>52-Week Low</w:t>
            </w:r>
          </w:p>
        </w:tc>
        <w:tc>
          <w:tcPr>
            <w:tcW w:type="dxa" w:w="6048"/>
            <w:shd w:val="clear" w:color="auto" w:fill="F4F6FB"/>
          </w:tcPr>
          <w:p>
            <w:r>
              <w:rPr>
                <w:sz w:val="19"/>
              </w:rPr>
              <w:t>$95.73</w:t>
            </w:r>
          </w:p>
        </w:tc>
      </w:tr>
      <w:tr>
        <w:tc>
          <w:tcPr>
            <w:tcW w:type="dxa" w:w="3600"/>
            <w:shd w:val="clear" w:color="auto" w:fill="FFFFFF"/>
          </w:tcPr>
          <w:p>
            <w:r>
              <w:rPr>
                <w:sz w:val="19"/>
              </w:rPr>
              <w:t>Current vs. 52-Wk High</w:t>
            </w:r>
          </w:p>
        </w:tc>
        <w:tc>
          <w:tcPr>
            <w:tcW w:type="dxa" w:w="6048"/>
            <w:shd w:val="clear" w:color="auto" w:fill="FFFFFF"/>
          </w:tcPr>
          <w:p>
            <w:r>
              <w:rPr>
                <w:sz w:val="19"/>
              </w:rPr>
              <w:t>-36.7% — significant correction</w:t>
            </w:r>
          </w:p>
        </w:tc>
      </w:tr>
      <w:tr>
        <w:tc>
          <w:tcPr>
            <w:tcW w:type="dxa" w:w="3600"/>
            <w:shd w:val="clear" w:color="auto" w:fill="F4F6FB"/>
          </w:tcPr>
          <w:p>
            <w:r>
              <w:rPr>
                <w:sz w:val="19"/>
              </w:rPr>
              <w:t>Current vs. 52-Wk Low</w:t>
            </w:r>
          </w:p>
        </w:tc>
        <w:tc>
          <w:tcPr>
            <w:tcW w:type="dxa" w:w="6048"/>
            <w:shd w:val="clear" w:color="auto" w:fill="F4F6FB"/>
          </w:tcPr>
          <w:p>
            <w:r>
              <w:rPr>
                <w:sz w:val="19"/>
              </w:rPr>
              <w:t>+27.5% — bouncing off lows</w:t>
            </w:r>
          </w:p>
        </w:tc>
      </w:tr>
      <w:tr>
        <w:tc>
          <w:tcPr>
            <w:tcW w:type="dxa" w:w="3600"/>
            <w:shd w:val="clear" w:color="auto" w:fill="FFFFFF"/>
          </w:tcPr>
          <w:p>
            <w:r>
              <w:rPr>
                <w:sz w:val="19"/>
              </w:rPr>
              <w:t>50-Day Moving Average</w:t>
            </w:r>
          </w:p>
        </w:tc>
        <w:tc>
          <w:tcPr>
            <w:tcW w:type="dxa" w:w="6048"/>
            <w:shd w:val="clear" w:color="auto" w:fill="FFFFFF"/>
          </w:tcPr>
          <w:p>
            <w:r>
              <w:rPr>
                <w:sz w:val="19"/>
              </w:rPr>
              <w:t>$160.1 — stock trading 24% BELOW 50-day MA</w:t>
            </w:r>
          </w:p>
        </w:tc>
      </w:tr>
      <w:tr>
        <w:tc>
          <w:tcPr>
            <w:tcW w:type="dxa" w:w="3600"/>
            <w:shd w:val="clear" w:color="auto" w:fill="F4F6FB"/>
          </w:tcPr>
          <w:p>
            <w:r>
              <w:rPr>
                <w:sz w:val="19"/>
              </w:rPr>
              <w:t>200-Day Moving Average</w:t>
            </w:r>
          </w:p>
        </w:tc>
        <w:tc>
          <w:tcPr>
            <w:tcW w:type="dxa" w:w="6048"/>
            <w:shd w:val="clear" w:color="auto" w:fill="F4F6FB"/>
          </w:tcPr>
          <w:p>
            <w:r>
              <w:rPr>
                <w:sz w:val="19"/>
              </w:rPr>
              <w:t>$153.4 — stock trading 20% BELOW 200-day MA</w:t>
            </w:r>
          </w:p>
        </w:tc>
      </w:tr>
      <w:tr>
        <w:tc>
          <w:tcPr>
            <w:tcW w:type="dxa" w:w="3600"/>
            <w:shd w:val="clear" w:color="auto" w:fill="FFFFFF"/>
          </w:tcPr>
          <w:p>
            <w:r>
              <w:rPr>
                <w:sz w:val="19"/>
              </w:rPr>
              <w:t>50-Day vs. 200-Day MA</w:t>
            </w:r>
          </w:p>
        </w:tc>
        <w:tc>
          <w:tcPr>
            <w:tcW w:type="dxa" w:w="6048"/>
            <w:shd w:val="clear" w:color="auto" w:fill="FFFFFF"/>
          </w:tcPr>
          <w:p>
            <w:r>
              <w:rPr>
                <w:sz w:val="19"/>
              </w:rPr>
              <w:t>50-day &gt; 200-day = bullish structural trend (golden cross still intact)</w:t>
            </w:r>
          </w:p>
        </w:tc>
      </w:tr>
      <w:tr>
        <w:tc>
          <w:tcPr>
            <w:tcW w:type="dxa" w:w="3600"/>
            <w:shd w:val="clear" w:color="auto" w:fill="F4F6FB"/>
          </w:tcPr>
          <w:p>
            <w:r>
              <w:rPr>
                <w:sz w:val="19"/>
              </w:rPr>
              <w:t>RSI</w:t>
            </w:r>
          </w:p>
        </w:tc>
        <w:tc>
          <w:tcPr>
            <w:tcW w:type="dxa" w:w="6048"/>
            <w:shd w:val="clear" w:color="auto" w:fill="F4F6FB"/>
          </w:tcPr>
          <w:p>
            <w:r>
              <w:rPr>
                <w:sz w:val="19"/>
              </w:rPr>
              <w:t>~36–45 (approaching oversold; neutral-to-bearish)</w:t>
            </w:r>
          </w:p>
        </w:tc>
      </w:tr>
      <w:tr>
        <w:tc>
          <w:tcPr>
            <w:tcW w:type="dxa" w:w="3600"/>
            <w:shd w:val="clear" w:color="auto" w:fill="FFFFFF"/>
          </w:tcPr>
          <w:p>
            <w:r>
              <w:rPr>
                <w:sz w:val="19"/>
              </w:rPr>
              <w:t>Key Support Level 1</w:t>
            </w:r>
          </w:p>
        </w:tc>
        <w:tc>
          <w:tcPr>
            <w:tcW w:type="dxa" w:w="6048"/>
            <w:shd w:val="clear" w:color="auto" w:fill="FFFFFF"/>
          </w:tcPr>
          <w:p>
            <w:r>
              <w:rPr>
                <w:sz w:val="19"/>
              </w:rPr>
              <w:t>$121–$122 (current level; critical floor)</w:t>
            </w:r>
          </w:p>
        </w:tc>
      </w:tr>
      <w:tr>
        <w:tc>
          <w:tcPr>
            <w:tcW w:type="dxa" w:w="3600"/>
            <w:shd w:val="clear" w:color="auto" w:fill="F4F6FB"/>
          </w:tcPr>
          <w:p>
            <w:r>
              <w:rPr>
                <w:sz w:val="19"/>
              </w:rPr>
              <w:t>Key Support Level 2</w:t>
            </w:r>
          </w:p>
        </w:tc>
        <w:tc>
          <w:tcPr>
            <w:tcW w:type="dxa" w:w="6048"/>
            <w:shd w:val="clear" w:color="auto" w:fill="F4F6FB"/>
          </w:tcPr>
          <w:p>
            <w:r>
              <w:rPr>
                <w:sz w:val="19"/>
              </w:rPr>
              <w:t>$95.73 (52-week low; major support)</w:t>
            </w:r>
          </w:p>
        </w:tc>
      </w:tr>
      <w:tr>
        <w:tc>
          <w:tcPr>
            <w:tcW w:type="dxa" w:w="3600"/>
            <w:shd w:val="clear" w:color="auto" w:fill="FFFFFF"/>
          </w:tcPr>
          <w:p>
            <w:r>
              <w:rPr>
                <w:sz w:val="19"/>
              </w:rPr>
              <w:t>Resistance Level 1</w:t>
            </w:r>
          </w:p>
        </w:tc>
        <w:tc>
          <w:tcPr>
            <w:tcW w:type="dxa" w:w="6048"/>
            <w:shd w:val="clear" w:color="auto" w:fill="FFFFFF"/>
          </w:tcPr>
          <w:p>
            <w:r>
              <w:rPr>
                <w:sz w:val="19"/>
              </w:rPr>
              <w:t>$130–$135 (20-day EMA zone)</w:t>
            </w:r>
          </w:p>
        </w:tc>
      </w:tr>
      <w:tr>
        <w:tc>
          <w:tcPr>
            <w:tcW w:type="dxa" w:w="3600"/>
            <w:shd w:val="clear" w:color="auto" w:fill="F4F6FB"/>
          </w:tcPr>
          <w:p>
            <w:r>
              <w:rPr>
                <w:sz w:val="19"/>
              </w:rPr>
              <w:t>Resistance Level 2</w:t>
            </w:r>
          </w:p>
        </w:tc>
        <w:tc>
          <w:tcPr>
            <w:tcW w:type="dxa" w:w="6048"/>
            <w:shd w:val="clear" w:color="auto" w:fill="F4F6FB"/>
          </w:tcPr>
          <w:p>
            <w:r>
              <w:rPr>
                <w:sz w:val="19"/>
              </w:rPr>
              <w:t>$153–$160 (200-day / 50-day MA cluster — major overhead resistance)</w:t>
            </w:r>
          </w:p>
        </w:tc>
      </w:tr>
      <w:tr>
        <w:tc>
          <w:tcPr>
            <w:tcW w:type="dxa" w:w="3600"/>
            <w:shd w:val="clear" w:color="auto" w:fill="FFFFFF"/>
          </w:tcPr>
          <w:p>
            <w:r>
              <w:rPr>
                <w:sz w:val="19"/>
              </w:rPr>
              <w:t>Resistance Level 3</w:t>
            </w:r>
          </w:p>
        </w:tc>
        <w:tc>
          <w:tcPr>
            <w:tcW w:type="dxa" w:w="6048"/>
            <w:shd w:val="clear" w:color="auto" w:fill="FFFFFF"/>
          </w:tcPr>
          <w:p>
            <w:r>
              <w:rPr>
                <w:sz w:val="19"/>
              </w:rPr>
              <w:t>$192.67 (52-week high; recapturing this = full recovery)</w:t>
            </w:r>
          </w:p>
        </w:tc>
      </w:tr>
      <w:tr>
        <w:tc>
          <w:tcPr>
            <w:tcW w:type="dxa" w:w="3600"/>
            <w:shd w:val="clear" w:color="auto" w:fill="F4F6FB"/>
          </w:tcPr>
          <w:p>
            <w:r>
              <w:rPr>
                <w:sz w:val="19"/>
              </w:rPr>
              <w:t>Options Intelligence</w:t>
            </w:r>
          </w:p>
        </w:tc>
        <w:tc>
          <w:tcPr>
            <w:tcW w:type="dxa" w:w="6048"/>
            <w:shd w:val="clear" w:color="auto" w:fill="F4F6FB"/>
          </w:tcPr>
          <w:p>
            <w:r>
              <w:rPr>
                <w:sz w:val="19"/>
              </w:rPr>
              <w:t>Elevated put/call ratio reflecting uncertainty; implied vol above historical</w:t>
            </w:r>
          </w:p>
        </w:tc>
      </w:tr>
      <w:tr>
        <w:tc>
          <w:tcPr>
            <w:tcW w:type="dxa" w:w="3600"/>
            <w:shd w:val="clear" w:color="auto" w:fill="FFFFFF"/>
          </w:tcPr>
          <w:p>
            <w:r>
              <w:rPr>
                <w:sz w:val="19"/>
              </w:rPr>
              <w:t>Overall Technical Outlook</w:t>
            </w:r>
          </w:p>
        </w:tc>
        <w:tc>
          <w:tcPr>
            <w:tcW w:type="dxa" w:w="6048"/>
            <w:shd w:val="clear" w:color="auto" w:fill="FFFFFF"/>
          </w:tcPr>
          <w:p>
            <w:r>
              <w:rPr>
                <w:sz w:val="19"/>
              </w:rPr>
              <w:t>Mixed: structurally bullish (golden cross) but momentum bearish; at support</w:t>
            </w:r>
          </w:p>
        </w:tc>
      </w:tr>
      <w:tr>
        <w:tc>
          <w:tcPr>
            <w:tcW w:type="dxa" w:w="3600"/>
            <w:shd w:val="clear" w:color="auto" w:fill="F4F6FB"/>
          </w:tcPr>
          <w:p>
            <w:r>
              <w:rPr>
                <w:sz w:val="19"/>
              </w:rPr>
              <w:t>Trading Note</w:t>
            </w:r>
          </w:p>
        </w:tc>
        <w:tc>
          <w:tcPr>
            <w:tcW w:type="dxa" w:w="6048"/>
            <w:shd w:val="clear" w:color="auto" w:fill="F4F6FB"/>
          </w:tcPr>
          <w:p>
            <w:r>
              <w:rPr>
                <w:sz w:val="19"/>
              </w:rPr>
              <w:t>RSI near oversold at major support = potential reversal zone; risk/reward improving</w:t>
            </w:r>
          </w:p>
        </w:tc>
      </w:tr>
    </w:tbl>
    <w:p>
      <w:pPr>
        <w:spacing w:before="320" w:after="80"/>
        <w:pBdr>
          <w:bottom w:val="single" w:sz="6" w:space="1" w:color="1A376C"/>
        </w:pBdr>
      </w:pPr>
      <w:r>
        <w:rPr>
          <w:b/>
          <w:color w:val="1A376C"/>
          <w:sz w:val="23"/>
        </w:rPr>
        <w:t>14. INSIDER &amp; INSTITUTIONAL SIGNALS</w:t>
      </w:r>
      <w:r>
        <w:rPr>
          <w:i/>
          <w:color w:val="555555"/>
          <w:sz w:val="18"/>
        </w:rPr>
        <w:t xml:space="preserve">  [Deep Research + Trading Ideas]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376C"/>
          </w:tcPr>
          <w:p>
            <w:r>
              <w:rPr>
                <w:b/>
                <w:color w:val="FFFFFF"/>
                <w:sz w:val="19"/>
              </w:rPr>
              <w:t>Signal</w:t>
            </w:r>
          </w:p>
        </w:tc>
        <w:tc>
          <w:tcPr>
            <w:tcW w:type="dxa" w:w="3744"/>
            <w:shd w:val="clear" w:color="auto" w:fill="1A376C"/>
          </w:tcPr>
          <w:p>
            <w:r>
              <w:rPr>
                <w:b/>
                <w:color w:val="FFFFFF"/>
                <w:sz w:val="19"/>
              </w:rPr>
              <w:t>Detail</w:t>
            </w:r>
          </w:p>
        </w:tc>
        <w:tc>
          <w:tcPr>
            <w:tcW w:type="dxa" w:w="2736"/>
            <w:shd w:val="clear" w:color="auto" w:fill="1A376C"/>
          </w:tcPr>
          <w:p>
            <w:r>
              <w:rPr>
                <w:b/>
                <w:color w:val="FFFFFF"/>
                <w:sz w:val="19"/>
              </w:rPr>
              <w:t>Interpretation</w:t>
            </w:r>
          </w:p>
        </w:tc>
      </w:tr>
      <w:tr>
        <w:tc>
          <w:tcPr>
            <w:tcW w:type="dxa" w:w="3024"/>
            <w:shd w:val="clear" w:color="auto" w:fill="F4F6FB"/>
          </w:tcPr>
          <w:p>
            <w:r>
              <w:rPr>
                <w:sz w:val="19"/>
              </w:rPr>
              <w:t>Institutional Ownership</w:t>
            </w:r>
          </w:p>
        </w:tc>
        <w:tc>
          <w:tcPr>
            <w:tcW w:type="dxa" w:w="3744"/>
            <w:shd w:val="clear" w:color="auto" w:fill="F4F6FB"/>
          </w:tcPr>
          <w:p>
            <w:r>
              <w:rPr>
                <w:sz w:val="19"/>
              </w:rPr>
              <w:t>~74–76%</w:t>
            </w:r>
          </w:p>
        </w:tc>
        <w:tc>
          <w:tcPr>
            <w:tcW w:type="dxa" w:w="2736"/>
            <w:shd w:val="clear" w:color="auto" w:fill="F4F6FB"/>
          </w:tcPr>
          <w:p>
            <w:r>
              <w:rPr>
                <w:sz w:val="19"/>
              </w:rPr>
              <w:t>High; dominated by global institutional funds</w:t>
            </w:r>
          </w:p>
        </w:tc>
      </w:tr>
      <w:tr>
        <w:tc>
          <w:tcPr>
            <w:tcW w:type="dxa" w:w="3024"/>
            <w:shd w:val="clear" w:color="auto" w:fill="FFFFFF"/>
          </w:tcPr>
          <w:p>
            <w:r>
              <w:rPr>
                <w:sz w:val="19"/>
              </w:rPr>
              <w:t>US Institutional Holders</w:t>
            </w:r>
          </w:p>
        </w:tc>
        <w:tc>
          <w:tcPr>
            <w:tcW w:type="dxa" w:w="3744"/>
            <w:shd w:val="clear" w:color="auto" w:fill="FFFFFF"/>
          </w:tcPr>
          <w:p>
            <w:r>
              <w:rPr>
                <w:sz w:val="19"/>
              </w:rPr>
              <w:t>1,275 institutions; 26% of total shares held by US institutions</w:t>
            </w:r>
          </w:p>
        </w:tc>
        <w:tc>
          <w:tcPr>
            <w:tcW w:type="dxa" w:w="2736"/>
            <w:shd w:val="clear" w:color="auto" w:fill="FFFFFF"/>
          </w:tcPr>
          <w:p>
            <w:r>
              <w:rPr>
                <w:sz w:val="19"/>
              </w:rPr>
              <w:t>Forced selling risk in delisting scenario</w:t>
            </w:r>
          </w:p>
        </w:tc>
      </w:tr>
      <w:tr>
        <w:tc>
          <w:tcPr>
            <w:tcW w:type="dxa" w:w="3024"/>
            <w:shd w:val="clear" w:color="auto" w:fill="F4F6FB"/>
          </w:tcPr>
          <w:p>
            <w:r>
              <w:rPr>
                <w:sz w:val="19"/>
              </w:rPr>
              <w:t>Buyback Authorization Remaining</w:t>
            </w:r>
          </w:p>
        </w:tc>
        <w:tc>
          <w:tcPr>
            <w:tcW w:type="dxa" w:w="3744"/>
            <w:shd w:val="clear" w:color="auto" w:fill="F4F6FB"/>
          </w:tcPr>
          <w:p>
            <w:r>
              <w:rPr>
                <w:sz w:val="19"/>
              </w:rPr>
              <w:t>$19.3B through March 2027</w:t>
            </w:r>
          </w:p>
        </w:tc>
        <w:tc>
          <w:tcPr>
            <w:tcW w:type="dxa" w:w="2736"/>
            <w:shd w:val="clear" w:color="auto" w:fill="F4F6FB"/>
          </w:tcPr>
          <w:p>
            <w:r>
              <w:rPr>
                <w:sz w:val="19"/>
              </w:rPr>
              <w:t>Management buying at $122 = conviction signal</w:t>
            </w:r>
          </w:p>
        </w:tc>
      </w:tr>
      <w:tr>
        <w:tc>
          <w:tcPr>
            <w:tcW w:type="dxa" w:w="3024"/>
            <w:shd w:val="clear" w:color="auto" w:fill="FFFFFF"/>
          </w:tcPr>
          <w:p>
            <w:r>
              <w:rPr>
                <w:sz w:val="19"/>
              </w:rPr>
              <w:t>Recent Buyback (last quarter)</w:t>
            </w:r>
          </w:p>
        </w:tc>
        <w:tc>
          <w:tcPr>
            <w:tcW w:type="dxa" w:w="3744"/>
            <w:shd w:val="clear" w:color="auto" w:fill="FFFFFF"/>
          </w:tcPr>
          <w:p>
            <w:r>
              <w:rPr>
                <w:sz w:val="19"/>
              </w:rPr>
              <w:t>$815M in shares repurchased</w:t>
            </w:r>
          </w:p>
        </w:tc>
        <w:tc>
          <w:tcPr>
            <w:tcW w:type="dxa" w:w="2736"/>
            <w:shd w:val="clear" w:color="auto" w:fill="FFFFFF"/>
          </w:tcPr>
          <w:p>
            <w:r>
              <w:rPr>
                <w:sz w:val="19"/>
              </w:rPr>
              <w:t>Consistent; ~6.7M ADSs at ~$122/ADS</w:t>
            </w:r>
          </w:p>
        </w:tc>
      </w:tr>
      <w:tr>
        <w:tc>
          <w:tcPr>
            <w:tcW w:type="dxa" w:w="3024"/>
            <w:shd w:val="clear" w:color="auto" w:fill="F4F6FB"/>
          </w:tcPr>
          <w:p>
            <w:r>
              <w:rPr>
                <w:sz w:val="19"/>
              </w:rPr>
              <w:t>Dividend (last paid)</w:t>
            </w:r>
          </w:p>
        </w:tc>
        <w:tc>
          <w:tcPr>
            <w:tcW w:type="dxa" w:w="3744"/>
            <w:shd w:val="clear" w:color="auto" w:fill="F4F6FB"/>
          </w:tcPr>
          <w:p>
            <w:r>
              <w:rPr>
                <w:sz w:val="19"/>
              </w:rPr>
              <w:t>$1.98/ADS (July 10, 2025)</w:t>
            </w:r>
          </w:p>
        </w:tc>
        <w:tc>
          <w:tcPr>
            <w:tcW w:type="dxa" w:w="2736"/>
            <w:shd w:val="clear" w:color="auto" w:fill="F4F6FB"/>
          </w:tcPr>
          <w:p>
            <w:r>
              <w:rPr>
                <w:sz w:val="19"/>
              </w:rPr>
              <w:t>Yield ~1.6% at current price</w:t>
            </w:r>
          </w:p>
        </w:tc>
      </w:tr>
      <w:tr>
        <w:tc>
          <w:tcPr>
            <w:tcW w:type="dxa" w:w="3024"/>
            <w:shd w:val="clear" w:color="auto" w:fill="FFFFFF"/>
          </w:tcPr>
          <w:p>
            <w:r>
              <w:rPr>
                <w:sz w:val="19"/>
              </w:rPr>
              <w:t>Jack Ma's Stake</w:t>
            </w:r>
          </w:p>
        </w:tc>
        <w:tc>
          <w:tcPr>
            <w:tcW w:type="dxa" w:w="3744"/>
            <w:shd w:val="clear" w:color="auto" w:fill="FFFFFF"/>
          </w:tcPr>
          <w:p>
            <w:r>
              <w:rPr>
                <w:sz w:val="19"/>
              </w:rPr>
              <w:t>~4.8% (reduced from ~6%)</w:t>
            </w:r>
          </w:p>
        </w:tc>
        <w:tc>
          <w:tcPr>
            <w:tcW w:type="dxa" w:w="2736"/>
            <w:shd w:val="clear" w:color="auto" w:fill="FFFFFF"/>
          </w:tcPr>
          <w:p>
            <w:r>
              <w:rPr>
                <w:sz w:val="19"/>
              </w:rPr>
              <w:t>Some selling on recovery from 52-wk low</w:t>
            </w:r>
          </w:p>
        </w:tc>
      </w:tr>
      <w:tr>
        <w:tc>
          <w:tcPr>
            <w:tcW w:type="dxa" w:w="3024"/>
            <w:shd w:val="clear" w:color="auto" w:fill="F4F6FB"/>
          </w:tcPr>
          <w:p>
            <w:r>
              <w:rPr>
                <w:sz w:val="19"/>
              </w:rPr>
              <w:t>Annual Capital Return (2025)</w:t>
            </w:r>
          </w:p>
        </w:tc>
        <w:tc>
          <w:tcPr>
            <w:tcW w:type="dxa" w:w="3744"/>
            <w:shd w:val="clear" w:color="auto" w:fill="F4F6FB"/>
          </w:tcPr>
          <w:p>
            <w:r>
              <w:rPr>
                <w:sz w:val="19"/>
              </w:rPr>
              <w:t>$22.87B FCF; $3-4B dividends + buybacks</w:t>
            </w:r>
          </w:p>
        </w:tc>
        <w:tc>
          <w:tcPr>
            <w:tcW w:type="dxa" w:w="2736"/>
            <w:shd w:val="clear" w:color="auto" w:fill="F4F6FB"/>
          </w:tcPr>
          <w:p>
            <w:r>
              <w:rPr>
                <w:sz w:val="19"/>
              </w:rPr>
              <w:t>Returning ~25-30% of FCF to shareholders</w:t>
            </w:r>
          </w:p>
        </w:tc>
      </w:tr>
      <w:tr>
        <w:tc>
          <w:tcPr>
            <w:tcW w:type="dxa" w:w="3024"/>
            <w:shd w:val="clear" w:color="auto" w:fill="FFFFFF"/>
          </w:tcPr>
          <w:p>
            <w:r>
              <w:rPr>
                <w:sz w:val="19"/>
              </w:rPr>
              <w:t>VIE Structure Warning</w:t>
            </w:r>
          </w:p>
        </w:tc>
        <w:tc>
          <w:tcPr>
            <w:tcW w:type="dxa" w:w="3744"/>
            <w:shd w:val="clear" w:color="auto" w:fill="FFFFFF"/>
          </w:tcPr>
          <w:p>
            <w:r>
              <w:rPr>
                <w:sz w:val="19"/>
              </w:rPr>
              <w:t>US investors hold contractual rights, not equity ownership</w:t>
            </w:r>
          </w:p>
        </w:tc>
        <w:tc>
          <w:tcPr>
            <w:tcW w:type="dxa" w:w="2736"/>
            <w:shd w:val="clear" w:color="auto" w:fill="FFFFFF"/>
          </w:tcPr>
          <w:p>
            <w:r>
              <w:rPr>
                <w:sz w:val="19"/>
              </w:rPr>
              <w:t>Structural governance risk; non-quantifiable</w:t>
            </w:r>
          </w:p>
        </w:tc>
      </w:tr>
    </w:tbl>
    <w:p>
      <w:pPr>
        <w:spacing w:before="320" w:after="80"/>
        <w:pBdr>
          <w:bottom w:val="single" w:sz="6" w:space="1" w:color="1A376C"/>
        </w:pBdr>
      </w:pPr>
      <w:r>
        <w:rPr>
          <w:b/>
          <w:color w:val="1A376C"/>
          <w:sz w:val="23"/>
        </w:rPr>
        <w:t>15. RISK ASSESSMENT</w:t>
      </w:r>
      <w:r>
        <w:rPr>
          <w:i/>
          <w:color w:val="555555"/>
          <w:sz w:val="18"/>
        </w:rPr>
        <w:t xml:space="preserve">  [All Three Frameworks — China Premium Critical]</w:t>
      </w:r>
    </w:p>
    <w:p>
      <w:pPr>
        <w:spacing w:before="0" w:after="100"/>
      </w:pPr>
      <w:r>
        <w:rPr>
          <w:b/>
          <w:i w:val="0"/>
          <w:sz w:val="21"/>
        </w:rPr>
        <w:t>CATEGORY A — Structural/Existential Risks (affect intrinsic value):</w:t>
      </w:r>
    </w:p>
    <w:p>
      <w:pPr>
        <w:pStyle w:val="ListBullet"/>
        <w:spacing w:after="60"/>
      </w:pPr>
      <w:r>
        <w:rPr>
          <w:sz w:val="21"/>
        </w:rPr>
        <w:t>VIE Structure Risk: US investors own contractual interests, NOT equity in Alibaba's operating entities. If the Chinese government invalidates VIE structures, US shareholders could be left with worthless contracts.</w:t>
      </w:r>
    </w:p>
    <w:p>
      <w:pPr>
        <w:pStyle w:val="ListBullet"/>
        <w:spacing w:after="60"/>
      </w:pPr>
      <w:r>
        <w:rPr>
          <w:sz w:val="21"/>
        </w:rPr>
        <w:t>US Delisting Risk (HIGH ALERT): Treasury Secretary Bessent's April 2025 'everything on the table' comment re-ignited fears. If PCAOB audit access is revoked, the 2-year countdown to delisting could begin with year 2 ending in 2026. Forced selling by US institutions (~26% of shares) would be severe.</w:t>
      </w:r>
    </w:p>
    <w:p>
      <w:pPr>
        <w:pStyle w:val="ListBullet"/>
        <w:spacing w:after="60"/>
      </w:pPr>
      <w:r>
        <w:rPr>
          <w:sz w:val="21"/>
        </w:rPr>
        <w:t>US Chip Export Controls: NVIDIA H100/H200 export restrictions limit Alibaba's ability to scale GPU infrastructure for AI. This could widen the gap with US hyperscalers. Alibaba's own AI chips (Hanguang 800) partially offset, but not fully.</w:t>
      </w:r>
    </w:p>
    <w:p>
      <w:pPr>
        <w:pStyle w:val="ListBullet"/>
        <w:spacing w:after="60"/>
      </w:pPr>
      <w:r>
        <w:rPr>
          <w:sz w:val="21"/>
        </w:rPr>
        <w:t>CapEx Risk — Stranded Investment: $53B committed to AI/cloud infrastructure that may never achieve AWS-like returns if US export controls, competition, or economic slowdown prevent adoption. FCF destruction without revenue payoff is the worst-case scenario.</w:t>
      </w:r>
    </w:p>
    <w:p>
      <w:pPr>
        <w:pStyle w:val="ListBullet"/>
        <w:spacing w:after="60"/>
      </w:pPr>
      <w:r>
        <w:rPr>
          <w:sz w:val="21"/>
        </w:rPr>
        <w:t>Regulatory Risk (Chinese Government): Post-2021 crackdown memory remains. Any new antitrust actions, forced divestiture orders, or data security investigations would severely impair the business.</w:t>
      </w:r>
    </w:p>
    <w:p>
      <w:pPr>
        <w:pStyle w:val="ListBullet"/>
        <w:spacing w:after="60"/>
      </w:pPr>
      <w:r>
        <w:rPr>
          <w:sz w:val="21"/>
        </w:rPr>
        <w:t>E-Commerce Structural Decline: PDD (Pinduoduo/Temu) growing 30%+ revenue vs BABA's 5%; ByteDance Douyin livestream commerce capturing younger demographics; structural share loss may be irreversible.</w:t>
      </w:r>
    </w:p>
    <w:p>
      <w:pPr>
        <w:spacing w:before="160" w:after="100"/>
      </w:pPr>
      <w:r>
        <w:rPr>
          <w:b/>
          <w:i w:val="0"/>
          <w:sz w:val="21"/>
        </w:rPr>
        <w:t>CATEGORY B — Macro Risks:</w:t>
      </w:r>
    </w:p>
    <w:p>
      <w:pPr>
        <w:pStyle w:val="ListBullet"/>
        <w:spacing w:after="60"/>
      </w:pPr>
      <w:r>
        <w:rPr>
          <w:sz w:val="21"/>
        </w:rPr>
        <w:t>US-China trade war escalation: Additional tariffs on Chinese goods reduce e-commerce volumes on AliExpress/international platforms; sentiment impact on ADR valuation.</w:t>
      </w:r>
    </w:p>
    <w:p>
      <w:pPr>
        <w:pStyle w:val="ListBullet"/>
        <w:spacing w:after="60"/>
      </w:pPr>
      <w:r>
        <w:rPr>
          <w:sz w:val="21"/>
        </w:rPr>
        <w:t>China economic slowdown: Consumer confidence and spending directly impact Taobao/Tmall GMV and advertising revenue.</w:t>
      </w:r>
    </w:p>
    <w:p>
      <w:pPr>
        <w:pStyle w:val="ListBullet"/>
        <w:spacing w:after="60"/>
      </w:pPr>
      <w:r>
        <w:rPr>
          <w:sz w:val="21"/>
        </w:rPr>
        <w:t>RMB depreciation: Alibaba reports in RMB; USD-denominated ADR investors face currency translation risk.</w:t>
      </w:r>
    </w:p>
    <w:p>
      <w:pPr>
        <w:pStyle w:val="ListBullet"/>
        <w:spacing w:after="60"/>
      </w:pPr>
      <w:r>
        <w:rPr>
          <w:sz w:val="21"/>
        </w:rPr>
        <w:t>Global cloud spending slowdown: Enterprise IT budget cuts would disproportionately harm Alibaba Cloud's external revenue growth.</w:t>
      </w:r>
    </w:p>
    <w:p>
      <w:pPr>
        <w:spacing w:before="160" w:after="100"/>
      </w:pPr>
      <w:r>
        <w:rPr>
          <w:b/>
          <w:i w:val="0"/>
          <w:sz w:val="21"/>
        </w:rPr>
        <w:t>CATEGORY C — Sentiment Only (do not change IV):</w:t>
      </w:r>
    </w:p>
    <w:p>
      <w:pPr>
        <w:pStyle w:val="ListBullet"/>
        <w:spacing w:after="60"/>
      </w:pPr>
      <w:r>
        <w:rPr>
          <w:sz w:val="21"/>
        </w:rPr>
        <w:t>Technical momentum: Short-term selling pressure from MA breakdown; does not affect fundamental DCF.</w:t>
      </w:r>
    </w:p>
    <w:p>
      <w:pPr>
        <w:pStyle w:val="ListBullet"/>
        <w:spacing w:after="60"/>
      </w:pPr>
      <w:r>
        <w:rPr>
          <w:sz w:val="21"/>
        </w:rPr>
        <w:t>Index rebalancing: MSCI/FTSE weight changes create mechanical selling/buying.</w:t>
      </w:r>
    </w:p>
    <w:tbl>
      <w:tblPr>
        <w:tblStyle w:val="TableGrid"/>
        <w:tblW w:type="auto" w:w="0"/>
        <w:jc w:val="center"/>
        <w:tblLook w:firstColumn="1" w:firstRow="1" w:lastColumn="0" w:lastRow="0" w:noHBand="0" w:noVBand="1" w:val="04A0"/>
      </w:tblPr>
      <w:tblGrid>
        <w:gridCol w:w="4536"/>
        <w:gridCol w:w="4536"/>
      </w:tblGrid>
      <w:tr>
        <w:tc>
          <w:tcPr>
            <w:tcW w:type="dxa" w:w="3600"/>
            <w:shd w:val="clear" w:color="auto" w:fill="1A376C"/>
          </w:tcPr>
          <w:p>
            <w:r>
              <w:rPr>
                <w:b/>
                <w:color w:val="FFFFFF"/>
                <w:sz w:val="19"/>
              </w:rPr>
              <w:t>Risk Factor</w:t>
            </w:r>
          </w:p>
        </w:tc>
        <w:tc>
          <w:tcPr>
            <w:tcW w:type="dxa" w:w="6048"/>
            <w:shd w:val="clear" w:color="auto" w:fill="1A376C"/>
          </w:tcPr>
          <w:p>
            <w:r>
              <w:rPr>
                <w:b/>
                <w:color w:val="FFFFFF"/>
                <w:sz w:val="19"/>
              </w:rPr>
              <w:t>Assessment</w:t>
            </w:r>
          </w:p>
        </w:tc>
      </w:tr>
      <w:tr>
        <w:tc>
          <w:tcPr>
            <w:tcW w:type="dxa" w:w="3600"/>
            <w:shd w:val="clear" w:color="auto" w:fill="F4F6FB"/>
          </w:tcPr>
          <w:p>
            <w:r>
              <w:rPr>
                <w:sz w:val="19"/>
              </w:rPr>
              <w:t>China/VIE/Geopolitical Risk</w:t>
            </w:r>
          </w:p>
        </w:tc>
        <w:tc>
          <w:tcPr>
            <w:tcW w:type="dxa" w:w="6048"/>
            <w:shd w:val="clear" w:color="auto" w:fill="F4F6FB"/>
          </w:tcPr>
          <w:p>
            <w:r>
              <w:rPr>
                <w:sz w:val="19"/>
              </w:rPr>
              <w:t>HIGH — most important risk; requires explicit position sizing</w:t>
            </w:r>
          </w:p>
        </w:tc>
      </w:tr>
      <w:tr>
        <w:tc>
          <w:tcPr>
            <w:tcW w:type="dxa" w:w="3600"/>
            <w:shd w:val="clear" w:color="auto" w:fill="FFFFFF"/>
          </w:tcPr>
          <w:p>
            <w:r>
              <w:rPr>
                <w:sz w:val="19"/>
              </w:rPr>
              <w:t>CapEx Cycle Risk</w:t>
            </w:r>
          </w:p>
        </w:tc>
        <w:tc>
          <w:tcPr>
            <w:tcW w:type="dxa" w:w="6048"/>
            <w:shd w:val="clear" w:color="auto" w:fill="FFFFFF"/>
          </w:tcPr>
          <w:p>
            <w:r>
              <w:rPr>
                <w:sz w:val="19"/>
              </w:rPr>
              <w:t>MEDIUM-HIGH — temporary FCF destruction; recoverable if cloud succeeds</w:t>
            </w:r>
          </w:p>
        </w:tc>
      </w:tr>
      <w:tr>
        <w:tc>
          <w:tcPr>
            <w:tcW w:type="dxa" w:w="3600"/>
            <w:shd w:val="clear" w:color="auto" w:fill="F4F6FB"/>
          </w:tcPr>
          <w:p>
            <w:r>
              <w:rPr>
                <w:sz w:val="19"/>
              </w:rPr>
              <w:t>Competitive Risk (E-Commerce)</w:t>
            </w:r>
          </w:p>
        </w:tc>
        <w:tc>
          <w:tcPr>
            <w:tcW w:type="dxa" w:w="6048"/>
            <w:shd w:val="clear" w:color="auto" w:fill="F4F6FB"/>
          </w:tcPr>
          <w:p>
            <w:r>
              <w:rPr>
                <w:sz w:val="19"/>
              </w:rPr>
              <w:t>MEDIUM — PDD/ByteDance pressure real but BABA stabilizing</w:t>
            </w:r>
          </w:p>
        </w:tc>
      </w:tr>
      <w:tr>
        <w:tc>
          <w:tcPr>
            <w:tcW w:type="dxa" w:w="3600"/>
            <w:shd w:val="clear" w:color="auto" w:fill="FFFFFF"/>
          </w:tcPr>
          <w:p>
            <w:r>
              <w:rPr>
                <w:sz w:val="19"/>
              </w:rPr>
              <w:t>US Chip Controls (AI)</w:t>
            </w:r>
          </w:p>
        </w:tc>
        <w:tc>
          <w:tcPr>
            <w:tcW w:type="dxa" w:w="6048"/>
            <w:shd w:val="clear" w:color="auto" w:fill="FFFFFF"/>
          </w:tcPr>
          <w:p>
            <w:r>
              <w:rPr>
                <w:sz w:val="19"/>
              </w:rPr>
              <w:t>MEDIUM — partially mitigated by own chip development</w:t>
            </w:r>
          </w:p>
        </w:tc>
      </w:tr>
      <w:tr>
        <w:tc>
          <w:tcPr>
            <w:tcW w:type="dxa" w:w="3600"/>
            <w:shd w:val="clear" w:color="auto" w:fill="F4F6FB"/>
          </w:tcPr>
          <w:p>
            <w:r>
              <w:rPr>
                <w:sz w:val="19"/>
              </w:rPr>
              <w:t>Beta (vs US market)</w:t>
            </w:r>
          </w:p>
        </w:tc>
        <w:tc>
          <w:tcPr>
            <w:tcW w:type="dxa" w:w="6048"/>
            <w:shd w:val="clear" w:color="auto" w:fill="F4F6FB"/>
          </w:tcPr>
          <w:p>
            <w:r>
              <w:rPr>
                <w:sz w:val="19"/>
              </w:rPr>
              <w:t>~1.4 — higher than market; amplified by China news sensitivity</w:t>
            </w:r>
          </w:p>
        </w:tc>
      </w:tr>
      <w:tr>
        <w:tc>
          <w:tcPr>
            <w:tcW w:type="dxa" w:w="3600"/>
            <w:shd w:val="clear" w:color="auto" w:fill="FFFFFF"/>
          </w:tcPr>
          <w:p>
            <w:r>
              <w:rPr>
                <w:sz w:val="19"/>
              </w:rPr>
              <w:t>Suggested Position Size</w:t>
            </w:r>
          </w:p>
        </w:tc>
        <w:tc>
          <w:tcPr>
            <w:tcW w:type="dxa" w:w="6048"/>
            <w:shd w:val="clear" w:color="auto" w:fill="FFFFFF"/>
          </w:tcPr>
          <w:p>
            <w:r>
              <w:rPr>
                <w:sz w:val="19"/>
              </w:rPr>
              <w:t>1.5–3% max for risk-tolerant value investors (vs 3–5% for US blue chips)</w:t>
            </w:r>
          </w:p>
        </w:tc>
      </w:tr>
      <w:tr>
        <w:tc>
          <w:tcPr>
            <w:tcW w:type="dxa" w:w="3600"/>
            <w:shd w:val="clear" w:color="auto" w:fill="F4F6FB"/>
          </w:tcPr>
          <w:p>
            <w:r>
              <w:rPr>
                <w:sz w:val="19"/>
              </w:rPr>
              <w:t>ESG</w:t>
            </w:r>
          </w:p>
        </w:tc>
        <w:tc>
          <w:tcPr>
            <w:tcW w:type="dxa" w:w="6048"/>
            <w:shd w:val="clear" w:color="auto" w:fill="F4F6FB"/>
          </w:tcPr>
          <w:p>
            <w:r>
              <w:rPr>
                <w:sz w:val="19"/>
              </w:rPr>
              <w:t>Governance concerns re: VIE, related-party transactions, Jack Ma history</w:t>
            </w:r>
          </w:p>
        </w:tc>
      </w:tr>
    </w:tbl>
    <w:p>
      <w:pPr>
        <w:spacing w:before="320" w:after="80"/>
        <w:pBdr>
          <w:bottom w:val="single" w:sz="6" w:space="1" w:color="1A376C"/>
        </w:pBdr>
      </w:pPr>
      <w:r>
        <w:rPr>
          <w:b/>
          <w:color w:val="1A376C"/>
          <w:sz w:val="23"/>
        </w:rPr>
        <w:t>16. INVESTMENT OPERATING RULES</w:t>
      </w:r>
      <w:r>
        <w:rPr>
          <w:i/>
          <w:color w:val="555555"/>
          <w:sz w:val="18"/>
        </w:rPr>
        <w:t xml:space="preserve">  [Value Investing — Step 7]</w:t>
      </w:r>
    </w:p>
    <w:p>
      <w:pPr>
        <w:spacing w:before="0" w:after="100"/>
      </w:pPr>
      <w:r>
        <w:rPr>
          <w:b/>
          <w:i w:val="0"/>
          <w:color w:val="1E7E34"/>
          <w:sz w:val="21"/>
        </w:rPr>
        <w:t>BUY RULES:</w:t>
      </w:r>
    </w:p>
    <w:p>
      <w:pPr>
        <w:pStyle w:val="ListBullet"/>
        <w:spacing w:after="60"/>
      </w:pPr>
      <w:r>
        <w:rPr>
          <w:sz w:val="21"/>
        </w:rPr>
        <w:t>Primary entry: Stock ≤ $121.80 (30% MoS vs base IV $174) — CURRENTLY AT THRESHOLD ($122.05).</w:t>
      </w:r>
    </w:p>
    <w:p>
      <w:pPr>
        <w:pStyle w:val="ListBullet"/>
        <w:spacing w:after="60"/>
      </w:pPr>
      <w:r>
        <w:rPr>
          <w:sz w:val="21"/>
        </w:rPr>
        <w:t>Execution: Build in 3 tranches: 40% at/near $122, 35% if stock reaches $105–$110, 25% at $95–$100.</w:t>
      </w:r>
    </w:p>
    <w:p>
      <w:pPr>
        <w:pStyle w:val="ListBullet"/>
        <w:spacing w:after="60"/>
      </w:pPr>
      <w:r>
        <w:rPr>
          <w:sz w:val="21"/>
        </w:rPr>
        <w:t>Each tranche confirmation required: no new VIE legislation, no PCAOB audit revocation, no new antitrust action.</w:t>
      </w:r>
    </w:p>
    <w:p>
      <w:pPr>
        <w:pStyle w:val="ListBullet"/>
        <w:spacing w:after="60"/>
      </w:pPr>
      <w:r>
        <w:rPr>
          <w:sz w:val="21"/>
        </w:rPr>
        <w:t>Monitor Q3/Q4 FY2026 cloud revenue: if growth decelerates below 20% YoY, reduce position.</w:t>
      </w:r>
    </w:p>
    <w:p>
      <w:pPr>
        <w:pStyle w:val="ListBullet"/>
        <w:spacing w:after="60"/>
      </w:pPr>
      <w:r>
        <w:rPr>
          <w:sz w:val="21"/>
        </w:rPr>
        <w:t>Combine with Hong Kong-listed BABA (9988.HK) for delisting hedge; HK shares not subject to US delisting risk.</w:t>
      </w:r>
    </w:p>
    <w:p>
      <w:pPr>
        <w:spacing w:before="160" w:after="100"/>
      </w:pPr>
      <w:r>
        <w:rPr>
          <w:b/>
          <w:i w:val="0"/>
          <w:sz w:val="21"/>
        </w:rPr>
        <w:t>HOLD CONDITIONS (all three must hold):</w:t>
      </w:r>
    </w:p>
    <w:p>
      <w:pPr>
        <w:pStyle w:val="ListBullet"/>
        <w:spacing w:after="60"/>
      </w:pPr>
      <w:r>
        <w:rPr>
          <w:sz w:val="21"/>
        </w:rPr>
        <w:t>1. Cloud revenue maintaining &gt;20% YoY growth and FCF trajectory recovering post-FY2028.</w:t>
      </w:r>
    </w:p>
    <w:p>
      <w:pPr>
        <w:pStyle w:val="ListBullet"/>
        <w:spacing w:after="60"/>
      </w:pPr>
      <w:r>
        <w:rPr>
          <w:sz w:val="21"/>
        </w:rPr>
        <w:t>2. No VIE structure adverse ruling and no confirmed PCAOB audit deficiency for 2 consecutive years.</w:t>
      </w:r>
    </w:p>
    <w:p>
      <w:pPr>
        <w:pStyle w:val="ListBullet"/>
        <w:spacing w:after="60"/>
      </w:pPr>
      <w:r>
        <w:rPr>
          <w:sz w:val="21"/>
        </w:rPr>
        <w:t>3. Management deploying $53B CapEx productively — monitor cloud revenue per dollar of CapEx annually.</w:t>
      </w:r>
    </w:p>
    <w:p>
      <w:pPr>
        <w:spacing w:before="160" w:after="100"/>
      </w:pPr>
      <w:r>
        <w:rPr>
          <w:b/>
          <w:i w:val="0"/>
          <w:color w:val="C0392B"/>
          <w:sz w:val="21"/>
        </w:rPr>
        <w:t>SELL TRIGGERS (any single trigger):</w:t>
      </w:r>
    </w:p>
    <w:p>
      <w:pPr>
        <w:pStyle w:val="ListBullet"/>
        <w:spacing w:after="60"/>
      </w:pPr>
      <w:r>
        <w:rPr>
          <w:sz w:val="21"/>
        </w:rPr>
        <w:t>Price exceeds BULL case intrinsic value of $280/ADS.</w:t>
      </w:r>
    </w:p>
    <w:p>
      <w:pPr>
        <w:pStyle w:val="ListBullet"/>
        <w:spacing w:after="60"/>
      </w:pPr>
      <w:r>
        <w:rPr>
          <w:sz w:val="21"/>
        </w:rPr>
        <w:t>PCAOB confirms audit deficiency for 2 consecutive years → imminent delisting risk.</w:t>
      </w:r>
    </w:p>
    <w:p>
      <w:pPr>
        <w:pStyle w:val="ListBullet"/>
        <w:spacing w:after="60"/>
      </w:pPr>
      <w:r>
        <w:rPr>
          <w:sz w:val="21"/>
        </w:rPr>
        <w:t>Chinese government initiates new antitrust investigation OR forced divestiture of core segment.</w:t>
      </w:r>
    </w:p>
    <w:p>
      <w:pPr>
        <w:pStyle w:val="ListBullet"/>
        <w:spacing w:after="60"/>
      </w:pPr>
      <w:r>
        <w:rPr>
          <w:sz w:val="21"/>
        </w:rPr>
        <w:t>Cloud revenue growth decelerates to &lt;15% YoY for 2 consecutive quarters (CapEx not generating returns).</w:t>
      </w:r>
    </w:p>
    <w:p>
      <w:pPr>
        <w:pStyle w:val="ListBullet"/>
        <w:spacing w:after="60"/>
      </w:pPr>
      <w:r>
        <w:rPr>
          <w:sz w:val="21"/>
        </w:rPr>
        <w:t>FCF remains below $10B for 3 consecutive full fiscal years (CapEx permanently destroys value).</w:t>
      </w:r>
    </w:p>
    <w:p>
      <w:pPr>
        <w:pStyle w:val="ListBullet"/>
        <w:spacing w:after="60"/>
      </w:pPr>
      <w:r>
        <w:rPr>
          <w:sz w:val="21"/>
        </w:rPr>
        <w:t>Buy thesis on AI/cloud proven wrong: AI workloads decline as % of cloud revenue.</w:t>
      </w:r>
    </w:p>
    <w:p>
      <w:pPr>
        <w:spacing w:before="320" w:after="80"/>
        <w:pBdr>
          <w:bottom w:val="single" w:sz="6" w:space="1" w:color="1A376C"/>
        </w:pBdr>
      </w:pPr>
      <w:r>
        <w:rPr>
          <w:b/>
          <w:color w:val="1A376C"/>
          <w:sz w:val="23"/>
        </w:rPr>
        <w:t>17. RECOMMENDATION SUMMARY</w:t>
      </w:r>
      <w:r>
        <w:rPr>
          <w:i/>
          <w:color w:val="555555"/>
          <w:sz w:val="18"/>
        </w:rPr>
        <w:t xml:space="preserve">  [All Three Frameworks Combined]</w:t>
      </w:r>
    </w:p>
    <w:tbl>
      <w:tblPr>
        <w:tblStyle w:val="TableGrid"/>
        <w:tblW w:type="auto" w:w="0"/>
        <w:jc w:val="center"/>
        <w:tblLook w:firstColumn="1" w:firstRow="1" w:lastColumn="0" w:lastRow="0" w:noHBand="0" w:noVBand="1" w:val="04A0"/>
      </w:tblPr>
      <w:tblGrid>
        <w:gridCol w:w="4536"/>
        <w:gridCol w:w="4536"/>
      </w:tblGrid>
      <w:tr>
        <w:tc>
          <w:tcPr>
            <w:tcW w:type="dxa" w:w="4032"/>
            <w:shd w:val="clear" w:color="auto" w:fill="1A376C"/>
          </w:tcPr>
          <w:p>
            <w:r>
              <w:rPr>
                <w:b/>
                <w:color w:val="FFFFFF"/>
                <w:sz w:val="19"/>
              </w:rPr>
              <w:t>Metric</w:t>
            </w:r>
          </w:p>
        </w:tc>
        <w:tc>
          <w:tcPr>
            <w:tcW w:type="dxa" w:w="5472"/>
            <w:shd w:val="clear" w:color="auto" w:fill="1A376C"/>
          </w:tcPr>
          <w:p>
            <w:r>
              <w:rPr>
                <w:b/>
                <w:color w:val="FFFFFF"/>
                <w:sz w:val="19"/>
              </w:rPr>
              <w:t>Value</w:t>
            </w:r>
          </w:p>
        </w:tc>
      </w:tr>
      <w:tr>
        <w:tc>
          <w:tcPr>
            <w:tcW w:type="dxa" w:w="4032"/>
            <w:shd w:val="clear" w:color="auto" w:fill="F4F6FB"/>
          </w:tcPr>
          <w:p>
            <w:r>
              <w:rPr>
                <w:sz w:val="19"/>
              </w:rPr>
              <w:t>Rating</w:t>
            </w:r>
          </w:p>
        </w:tc>
        <w:tc>
          <w:tcPr>
            <w:tcW w:type="dxa" w:w="5472"/>
            <w:shd w:val="clear" w:color="auto" w:fill="F4F6FB"/>
          </w:tcPr>
          <w:p>
            <w:r>
              <w:rPr>
                <w:sz w:val="19"/>
              </w:rPr>
              <w:t>TACTICAL BUY AT THRESHOLD</w:t>
            </w:r>
          </w:p>
        </w:tc>
      </w:tr>
      <w:tr>
        <w:tc>
          <w:tcPr>
            <w:tcW w:type="dxa" w:w="4032"/>
            <w:shd w:val="clear" w:color="auto" w:fill="FFFFFF"/>
          </w:tcPr>
          <w:p>
            <w:r>
              <w:rPr>
                <w:sz w:val="19"/>
              </w:rPr>
              <w:t>Conviction</w:t>
            </w:r>
          </w:p>
        </w:tc>
        <w:tc>
          <w:tcPr>
            <w:tcW w:type="dxa" w:w="5472"/>
            <w:shd w:val="clear" w:color="auto" w:fill="FFFFFF"/>
          </w:tcPr>
          <w:p>
            <w:r>
              <w:rPr>
                <w:sz w:val="19"/>
              </w:rPr>
              <w:t>MEDIUM-HIGH (with explicit China risk tolerance required)</w:t>
            </w:r>
          </w:p>
        </w:tc>
      </w:tr>
      <w:tr>
        <w:tc>
          <w:tcPr>
            <w:tcW w:type="dxa" w:w="4032"/>
            <w:shd w:val="clear" w:color="auto" w:fill="F4F6FB"/>
          </w:tcPr>
          <w:p>
            <w:r>
              <w:rPr>
                <w:sz w:val="19"/>
              </w:rPr>
              <w:t>Base-Case Intrinsic Value</w:t>
            </w:r>
          </w:p>
        </w:tc>
        <w:tc>
          <w:tcPr>
            <w:tcW w:type="dxa" w:w="5472"/>
            <w:shd w:val="clear" w:color="auto" w:fill="F4F6FB"/>
          </w:tcPr>
          <w:p>
            <w:r>
              <w:rPr>
                <w:sz w:val="19"/>
              </w:rPr>
              <w:t>$174/ADS</w:t>
            </w:r>
          </w:p>
        </w:tc>
      </w:tr>
      <w:tr>
        <w:tc>
          <w:tcPr>
            <w:tcW w:type="dxa" w:w="4032"/>
            <w:shd w:val="clear" w:color="auto" w:fill="FFFFFF"/>
          </w:tcPr>
          <w:p>
            <w:r>
              <w:rPr>
                <w:sz w:val="19"/>
              </w:rPr>
              <w:t>Bear-Case Intrinsic Value</w:t>
            </w:r>
          </w:p>
        </w:tc>
        <w:tc>
          <w:tcPr>
            <w:tcW w:type="dxa" w:w="5472"/>
            <w:shd w:val="clear" w:color="auto" w:fill="FFFFFF"/>
          </w:tcPr>
          <w:p>
            <w:r>
              <w:rPr>
                <w:sz w:val="19"/>
              </w:rPr>
              <w:t>$78/ADS (-36% downside)</w:t>
            </w:r>
          </w:p>
        </w:tc>
      </w:tr>
      <w:tr>
        <w:tc>
          <w:tcPr>
            <w:tcW w:type="dxa" w:w="4032"/>
            <w:shd w:val="clear" w:color="auto" w:fill="F4F6FB"/>
          </w:tcPr>
          <w:p>
            <w:r>
              <w:rPr>
                <w:sz w:val="19"/>
              </w:rPr>
              <w:t>Bull-Case Intrinsic Value</w:t>
            </w:r>
          </w:p>
        </w:tc>
        <w:tc>
          <w:tcPr>
            <w:tcW w:type="dxa" w:w="5472"/>
            <w:shd w:val="clear" w:color="auto" w:fill="F4F6FB"/>
          </w:tcPr>
          <w:p>
            <w:r>
              <w:rPr>
                <w:sz w:val="19"/>
              </w:rPr>
              <w:t>$280/ADS (+129% upside)</w:t>
            </w:r>
          </w:p>
        </w:tc>
      </w:tr>
      <w:tr>
        <w:tc>
          <w:tcPr>
            <w:tcW w:type="dxa" w:w="4032"/>
            <w:shd w:val="clear" w:color="auto" w:fill="FFFFFF"/>
          </w:tcPr>
          <w:p>
            <w:r>
              <w:rPr>
                <w:sz w:val="19"/>
              </w:rPr>
              <w:t>Probability-Weighted IV</w:t>
            </w:r>
          </w:p>
        </w:tc>
        <w:tc>
          <w:tcPr>
            <w:tcW w:type="dxa" w:w="5472"/>
            <w:shd w:val="clear" w:color="auto" w:fill="FFFFFF"/>
          </w:tcPr>
          <w:p>
            <w:r>
              <w:rPr>
                <w:sz w:val="19"/>
              </w:rPr>
              <w:t>~$181/ADS</w:t>
            </w:r>
          </w:p>
        </w:tc>
      </w:tr>
      <w:tr>
        <w:tc>
          <w:tcPr>
            <w:tcW w:type="dxa" w:w="4032"/>
            <w:shd w:val="clear" w:color="auto" w:fill="F4F6FB"/>
          </w:tcPr>
          <w:p>
            <w:r>
              <w:rPr>
                <w:sz w:val="19"/>
              </w:rPr>
              <w:t>Current Price</w:t>
            </w:r>
          </w:p>
        </w:tc>
        <w:tc>
          <w:tcPr>
            <w:tcW w:type="dxa" w:w="5472"/>
            <w:shd w:val="clear" w:color="auto" w:fill="F4F6FB"/>
          </w:tcPr>
          <w:p>
            <w:r>
              <w:rPr>
                <w:sz w:val="19"/>
              </w:rPr>
              <w:t>$122.05</w:t>
            </w:r>
          </w:p>
        </w:tc>
      </w:tr>
      <w:tr>
        <w:tc>
          <w:tcPr>
            <w:tcW w:type="dxa" w:w="4032"/>
            <w:shd w:val="clear" w:color="auto" w:fill="FFFFFF"/>
          </w:tcPr>
          <w:p>
            <w:r>
              <w:rPr>
                <w:sz w:val="19"/>
              </w:rPr>
              <w:t>Discount to Base IV</w:t>
            </w:r>
          </w:p>
        </w:tc>
        <w:tc>
          <w:tcPr>
            <w:tcW w:type="dxa" w:w="5472"/>
            <w:shd w:val="clear" w:color="auto" w:fill="FFFFFF"/>
          </w:tcPr>
          <w:p>
            <w:r>
              <w:rPr>
                <w:sz w:val="19"/>
              </w:rPr>
              <w:t>29.9% — AT the 30% Graham threshold</w:t>
            </w:r>
          </w:p>
        </w:tc>
      </w:tr>
      <w:tr>
        <w:tc>
          <w:tcPr>
            <w:tcW w:type="dxa" w:w="4032"/>
            <w:shd w:val="clear" w:color="auto" w:fill="F4F6FB"/>
          </w:tcPr>
          <w:p>
            <w:r>
              <w:rPr>
                <w:sz w:val="19"/>
              </w:rPr>
              <w:t>12-Month Trading Target</w:t>
            </w:r>
          </w:p>
        </w:tc>
        <w:tc>
          <w:tcPr>
            <w:tcW w:type="dxa" w:w="5472"/>
            <w:shd w:val="clear" w:color="auto" w:fill="F4F6FB"/>
          </w:tcPr>
          <w:p>
            <w:r>
              <w:rPr>
                <w:sz w:val="19"/>
              </w:rPr>
              <w:t>$155–$175 (technical recovery to MA cluster)</w:t>
            </w:r>
          </w:p>
        </w:tc>
      </w:tr>
      <w:tr>
        <w:tc>
          <w:tcPr>
            <w:tcW w:type="dxa" w:w="4032"/>
            <w:shd w:val="clear" w:color="auto" w:fill="FFFFFF"/>
          </w:tcPr>
          <w:p>
            <w:r>
              <w:rPr>
                <w:sz w:val="19"/>
              </w:rPr>
              <w:t>Upside to Trading Target</w:t>
            </w:r>
          </w:p>
        </w:tc>
        <w:tc>
          <w:tcPr>
            <w:tcW w:type="dxa" w:w="5472"/>
            <w:shd w:val="clear" w:color="auto" w:fill="FFFFFF"/>
          </w:tcPr>
          <w:p>
            <w:r>
              <w:rPr>
                <w:sz w:val="19"/>
              </w:rPr>
              <w:t>+27–43%</w:t>
            </w:r>
          </w:p>
        </w:tc>
      </w:tr>
      <w:tr>
        <w:tc>
          <w:tcPr>
            <w:tcW w:type="dxa" w:w="4032"/>
            <w:shd w:val="clear" w:color="auto" w:fill="F4F6FB"/>
          </w:tcPr>
          <w:p>
            <w:r>
              <w:rPr>
                <w:sz w:val="19"/>
              </w:rPr>
              <w:t>12-Month Analyst Avg Target</w:t>
            </w:r>
          </w:p>
        </w:tc>
        <w:tc>
          <w:tcPr>
            <w:tcW w:type="dxa" w:w="5472"/>
            <w:shd w:val="clear" w:color="auto" w:fill="F4F6FB"/>
          </w:tcPr>
          <w:p>
            <w:r>
              <w:rPr>
                <w:sz w:val="19"/>
              </w:rPr>
              <w:t>$185–$187 (+52%)</w:t>
            </w:r>
          </w:p>
        </w:tc>
      </w:tr>
      <w:tr>
        <w:tc>
          <w:tcPr>
            <w:tcW w:type="dxa" w:w="4032"/>
            <w:shd w:val="clear" w:color="auto" w:fill="FFFFFF"/>
          </w:tcPr>
          <w:p>
            <w:r>
              <w:rPr>
                <w:sz w:val="19"/>
              </w:rPr>
              <w:t>J.P. Morgan Target</w:t>
            </w:r>
          </w:p>
        </w:tc>
        <w:tc>
          <w:tcPr>
            <w:tcW w:type="dxa" w:w="5472"/>
            <w:shd w:val="clear" w:color="auto" w:fill="FFFFFF"/>
          </w:tcPr>
          <w:p>
            <w:r>
              <w:rPr>
                <w:sz w:val="19"/>
              </w:rPr>
              <w:t>$230 (+88%)</w:t>
            </w:r>
          </w:p>
        </w:tc>
      </w:tr>
      <w:tr>
        <w:tc>
          <w:tcPr>
            <w:tcW w:type="dxa" w:w="4032"/>
            <w:shd w:val="clear" w:color="auto" w:fill="F4F6FB"/>
          </w:tcPr>
          <w:p>
            <w:r>
              <w:rPr>
                <w:sz w:val="19"/>
              </w:rPr>
              <w:t>Key Catalyst to Watch</w:t>
            </w:r>
          </w:p>
        </w:tc>
        <w:tc>
          <w:tcPr>
            <w:tcW w:type="dxa" w:w="5472"/>
            <w:shd w:val="clear" w:color="auto" w:fill="F4F6FB"/>
          </w:tcPr>
          <w:p>
            <w:r>
              <w:rPr>
                <w:sz w:val="19"/>
              </w:rPr>
              <w:t>FY2026 annual results (May 2026) — cloud revenue vs CapEx ROI</w:t>
            </w:r>
          </w:p>
        </w:tc>
      </w:tr>
      <w:tr>
        <w:tc>
          <w:tcPr>
            <w:tcW w:type="dxa" w:w="4032"/>
            <w:shd w:val="clear" w:color="auto" w:fill="FFFFFF"/>
          </w:tcPr>
          <w:p>
            <w:r>
              <w:rPr>
                <w:sz w:val="19"/>
              </w:rPr>
              <w:t>Position Size (suggested)</w:t>
            </w:r>
          </w:p>
        </w:tc>
        <w:tc>
          <w:tcPr>
            <w:tcW w:type="dxa" w:w="5472"/>
            <w:shd w:val="clear" w:color="auto" w:fill="FFFFFF"/>
          </w:tcPr>
          <w:p>
            <w:r>
              <w:rPr>
                <w:sz w:val="19"/>
              </w:rPr>
              <w:t>1.5–3% max (China risk discount vs US large-cap 3–5%)</w:t>
            </w:r>
          </w:p>
        </w:tc>
      </w:tr>
      <w:tr>
        <w:tc>
          <w:tcPr>
            <w:tcW w:type="dxa" w:w="4032"/>
            <w:shd w:val="clear" w:color="auto" w:fill="F4F6FB"/>
          </w:tcPr>
          <w:p>
            <w:r>
              <w:rPr>
                <w:sz w:val="19"/>
              </w:rPr>
              <w:t>Hedge Recommendation</w:t>
            </w:r>
          </w:p>
        </w:tc>
        <w:tc>
          <w:tcPr>
            <w:tcW w:type="dxa" w:w="5472"/>
            <w:shd w:val="clear" w:color="auto" w:fill="F4F6FB"/>
          </w:tcPr>
          <w:p>
            <w:r>
              <w:rPr>
                <w:sz w:val="19"/>
              </w:rPr>
              <w:t>Consider HK-listed 9988.HK for US delisting risk hedge</w:t>
            </w:r>
          </w:p>
        </w:tc>
      </w:tr>
      <w:tr>
        <w:tc>
          <w:tcPr>
            <w:tcW w:type="dxa" w:w="4032"/>
            <w:shd w:val="clear" w:color="auto" w:fill="FFFFFF"/>
          </w:tcPr>
          <w:p>
            <w:r>
              <w:rPr>
                <w:sz w:val="19"/>
              </w:rPr>
              <w:t>Timeframe</w:t>
            </w:r>
          </w:p>
        </w:tc>
        <w:tc>
          <w:tcPr>
            <w:tcW w:type="dxa" w:w="5472"/>
            <w:shd w:val="clear" w:color="auto" w:fill="FFFFFF"/>
          </w:tcPr>
          <w:p>
            <w:r>
              <w:rPr>
                <w:sz w:val="19"/>
              </w:rPr>
              <w:t>24–48 months for full intrinsic value realization</w:t>
            </w:r>
          </w:p>
        </w:tc>
      </w:tr>
      <w:tr>
        <w:tc>
          <w:tcPr>
            <w:tcW w:type="dxa" w:w="4032"/>
            <w:shd w:val="clear" w:color="auto" w:fill="F4F6FB"/>
          </w:tcPr>
          <w:p>
            <w:r>
              <w:rPr>
                <w:sz w:val="19"/>
              </w:rPr>
              <w:t>FCF Yield (FY2025 normalized)</w:t>
            </w:r>
          </w:p>
        </w:tc>
        <w:tc>
          <w:tcPr>
            <w:tcW w:type="dxa" w:w="5472"/>
            <w:shd w:val="clear" w:color="auto" w:fill="F4F6FB"/>
          </w:tcPr>
          <w:p>
            <w:r>
              <w:rPr>
                <w:sz w:val="19"/>
              </w:rPr>
              <w:t>7.7% — attractive but FY2026 will be far lower</w:t>
            </w:r>
          </w:p>
        </w:tc>
      </w:tr>
      <w:tr>
        <w:tc>
          <w:tcPr>
            <w:tcW w:type="dxa" w:w="4032"/>
            <w:shd w:val="clear" w:color="auto" w:fill="FFFFFF"/>
          </w:tcPr>
          <w:p>
            <w:r>
              <w:rPr>
                <w:sz w:val="19"/>
              </w:rPr>
              <w:t>Key Risk to Monitor</w:t>
            </w:r>
          </w:p>
        </w:tc>
        <w:tc>
          <w:tcPr>
            <w:tcW w:type="dxa" w:w="5472"/>
            <w:shd w:val="clear" w:color="auto" w:fill="FFFFFF"/>
          </w:tcPr>
          <w:p>
            <w:r>
              <w:rPr>
                <w:sz w:val="19"/>
              </w:rPr>
              <w:t>US delisting / VIE structure validity / PCAOB audit access</w:t>
            </w:r>
          </w:p>
        </w:tc>
      </w:tr>
    </w:tbl>
    <w:p/>
    <w:p>
      <w:pPr>
        <w:spacing w:before="400"/>
      </w:pPr>
      <w:r>
        <w:rPr>
          <w:i/>
          <w:color w:val="999999"/>
          <w:sz w:val="17"/>
        </w:rPr>
        <w:t>DISCLAIMER: This report is generated for research and informational purposes only. It does not constitute investment advice, a solicitation to buy or sell securities, or a recommendation of any kind. Investing in Chinese ADRs involves unique risks including VIE structure uncertainty, US delisting risk, Chinese regulatory risk, currency risk, and geopolitical risk not present in US-domiciled securities. All financial data sourced from public filings, earnings releases, and news services as of April 4, 2026. DCF valuations are highly sensitive to assumptions — see Section 7. Past performance does not guarantee future results. All investments carry the risk of total loss. Consult a qualified financial advisor and consider your own risk tolerance before making investment decisions.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