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BAIDU (BIDU) — COMBINED INSTITUTIONAL ANALYSIS</w:t>
      </w:r>
    </w:p>
    <w:p>
      <w:pPr>
        <w:jc w:val="center"/>
      </w:pPr>
      <w:r>
        <w:rPr>
          <w:color w:val="595959"/>
          <w:sz w:val="24"/>
        </w:rPr>
        <w:t>Deep Financial Research  ·  Value Investing Evaluation  ·  Trading Ideas</w:t>
      </w:r>
    </w:p>
    <w:p>
      <w:pPr>
        <w:jc w:val="center"/>
      </w:pPr>
      <w:r>
        <w:rPr>
          <w:sz w:val="20"/>
        </w:rPr>
        <w:t>Analysis Date: April 4, 2026  |  Price: ~$111 USD/ADS</w:t>
      </w:r>
    </w:p>
    <w:p/>
    <w:p>
      <w:pPr>
        <w:pStyle w:val="Heading2"/>
        <w:jc w:val="left"/>
      </w:pPr>
      <w:r>
        <w:rPr>
          <w:color w:val="1F4E79"/>
        </w:rPr>
        <w:t>ONE-LINE VERDICT</w:t>
      </w:r>
    </w:p>
    <w:p>
      <w:r>
        <w:rPr>
          <w:b w:val="0"/>
          <w:sz w:val="20"/>
        </w:rPr>
        <w:t>Baidu is a narrow-moat Chinese AI company trading at 0.93x book and ~11x normalized earnings — statistically cheap, but the advertising core is eroding, FCF is in an investment trough, and the bull case requires AI monetization acceleration that isn't yet proven. Not a Graham-style buy at $111, but a compelling accumulate-on-weakness for patient investors with China risk appetite, with a $135 12-month target and $187 bull case.</w:t>
      </w:r>
    </w:p>
    <w:p/>
    <w:p>
      <w:pPr>
        <w:pStyle w:val="Heading1"/>
        <w:jc w:val="left"/>
      </w:pPr>
      <w:r>
        <w:rPr>
          <w:color w:val="1F4E79"/>
        </w:rPr>
        <w:t>PART I — DEEP FINANCIAL RESEARCH</w:t>
      </w:r>
    </w:p>
    <w:p>
      <w:pPr>
        <w:pStyle w:val="Heading2"/>
        <w:jc w:val="left"/>
      </w:pPr>
      <w:r>
        <w:rPr>
          <w:color w:val="1F4E79"/>
        </w:rPr>
        <w:t>Data Timeliness Confirmation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sz w:val="18"/>
              </w:rPr>
              <w:t>Field</w:t>
            </w:r>
          </w:p>
        </w:tc>
        <w:tc>
          <w:tcPr>
            <w:tcW w:type="dxa" w:w="4536"/>
            <w:shd w:val="clear" w:color="auto" w:fill="1F4E79"/>
          </w:tcPr>
          <w:p>
            <w:r>
              <w:rPr>
                <w:b/>
                <w:color w:val="FFFFFF"/>
                <w:sz w:val="18"/>
              </w:rPr>
              <w:t>Value</w:t>
            </w:r>
          </w:p>
        </w:tc>
      </w:tr>
      <w:tr>
        <w:tc>
          <w:tcPr>
            <w:tcW w:type="dxa" w:w="4536"/>
            <w:shd w:val="clear" w:color="auto" w:fill="EBF3FB"/>
          </w:tcPr>
          <w:p>
            <w:r>
              <w:rPr>
                <w:sz w:val="18"/>
              </w:rPr>
              <w:t>Analysis Date</w:t>
            </w:r>
          </w:p>
        </w:tc>
        <w:tc>
          <w:tcPr>
            <w:tcW w:type="dxa" w:w="4536"/>
            <w:shd w:val="clear" w:color="auto" w:fill="EBF3FB"/>
          </w:tcPr>
          <w:p>
            <w:r>
              <w:rPr>
                <w:sz w:val="18"/>
              </w:rPr>
              <w:t>April 4, 2026</w:t>
            </w:r>
          </w:p>
        </w:tc>
      </w:tr>
      <w:tr>
        <w:tc>
          <w:tcPr>
            <w:tcW w:type="dxa" w:w="4536"/>
            <w:shd w:val="clear" w:color="auto" w:fill="FFFFFF"/>
          </w:tcPr>
          <w:p>
            <w:r>
              <w:rPr>
                <w:sz w:val="18"/>
              </w:rPr>
              <w:t>Latest Annual Report</w:t>
            </w:r>
          </w:p>
        </w:tc>
        <w:tc>
          <w:tcPr>
            <w:tcW w:type="dxa" w:w="4536"/>
            <w:shd w:val="clear" w:color="auto" w:fill="FFFFFF"/>
          </w:tcPr>
          <w:p>
            <w:r>
              <w:rPr>
                <w:sz w:val="18"/>
              </w:rPr>
              <w:t>FY2025 (released Feb 26, 2026 — Q4 2025 earnings call)</w:t>
            </w:r>
          </w:p>
        </w:tc>
      </w:tr>
      <w:tr>
        <w:tc>
          <w:tcPr>
            <w:tcW w:type="dxa" w:w="4536"/>
            <w:shd w:val="clear" w:color="auto" w:fill="EBF3FB"/>
          </w:tcPr>
          <w:p>
            <w:r>
              <w:rPr>
                <w:sz w:val="18"/>
              </w:rPr>
              <w:t>Data Used</w:t>
            </w:r>
          </w:p>
        </w:tc>
        <w:tc>
          <w:tcPr>
            <w:tcW w:type="dxa" w:w="4536"/>
            <w:shd w:val="clear" w:color="auto" w:fill="EBF3FB"/>
          </w:tcPr>
          <w:p>
            <w:r>
              <w:rPr>
                <w:sz w:val="18"/>
              </w:rPr>
              <w:t>FY2025 (most recent)</w:t>
            </w:r>
          </w:p>
        </w:tc>
      </w:tr>
      <w:tr>
        <w:tc>
          <w:tcPr>
            <w:tcW w:type="dxa" w:w="4536"/>
            <w:shd w:val="clear" w:color="auto" w:fill="FFFFFF"/>
          </w:tcPr>
          <w:p>
            <w:r>
              <w:rPr>
                <w:sz w:val="18"/>
              </w:rPr>
              <w:t>Is This the Latest?</w:t>
            </w:r>
          </w:p>
        </w:tc>
        <w:tc>
          <w:tcPr>
            <w:tcW w:type="dxa" w:w="4536"/>
            <w:shd w:val="clear" w:color="auto" w:fill="FFFFFF"/>
          </w:tcPr>
          <w:p>
            <w:r>
              <w:rPr>
                <w:sz w:val="18"/>
              </w:rPr>
              <w:t>✅ YES</w:t>
            </w:r>
          </w:p>
        </w:tc>
      </w:tr>
    </w:tbl>
    <w:p/>
    <w:p>
      <w:pPr>
        <w:pStyle w:val="Heading2"/>
        <w:jc w:val="left"/>
      </w:pPr>
      <w:r>
        <w:rPr>
          <w:color w:val="1F4E79"/>
        </w:rPr>
        <w:t>Business Overview</w:t>
      </w:r>
    </w:p>
    <w:p>
      <w:r>
        <w:rPr>
          <w:b w:val="0"/>
          <w:sz w:val="20"/>
        </w:rPr>
        <w:t>Baidu is China's dominant internet search and AI platform. Revenue flows through two primary segments: Online Marketing Services (core advertising, ~57% of revenue, declining) and Baidu AI Cloud / non-marketing (~43% of revenue, growing rapidly). The company also controls Apollo Go, the world's largest autonomous ride-hailing platform, and is developing proprietary AI chips (Kunlunxin) as a potential third growth vector. Baidu is best understood as a legacy search giant in structural transition — monetizing its data moat to build AI infrastructure, at the cost of near-term profitability.</w:t>
      </w:r>
    </w:p>
    <w:p/>
    <w:p>
      <w:pPr>
        <w:pStyle w:val="Heading2"/>
        <w:jc w:val="left"/>
      </w:pPr>
      <w:r>
        <w:rPr>
          <w:color w:val="1F4E79"/>
        </w:rPr>
        <w:t>Key Financial Metrics (FY2021–FY2025)</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E79"/>
          </w:tcPr>
          <w:p>
            <w:r>
              <w:rPr>
                <w:b/>
                <w:color w:val="FFFFFF"/>
                <w:sz w:val="18"/>
              </w:rPr>
              <w:t>Metric</w:t>
            </w:r>
          </w:p>
        </w:tc>
        <w:tc>
          <w:tcPr>
            <w:tcW w:type="dxa" w:w="1296"/>
            <w:shd w:val="clear" w:color="auto" w:fill="1F4E79"/>
          </w:tcPr>
          <w:p>
            <w:r>
              <w:rPr>
                <w:b/>
                <w:color w:val="FFFFFF"/>
                <w:sz w:val="18"/>
              </w:rPr>
              <w:t>FY2021</w:t>
            </w:r>
          </w:p>
        </w:tc>
        <w:tc>
          <w:tcPr>
            <w:tcW w:type="dxa" w:w="1296"/>
            <w:shd w:val="clear" w:color="auto" w:fill="1F4E79"/>
          </w:tcPr>
          <w:p>
            <w:r>
              <w:rPr>
                <w:b/>
                <w:color w:val="FFFFFF"/>
                <w:sz w:val="18"/>
              </w:rPr>
              <w:t>FY2022</w:t>
            </w:r>
          </w:p>
        </w:tc>
        <w:tc>
          <w:tcPr>
            <w:tcW w:type="dxa" w:w="1296"/>
            <w:shd w:val="clear" w:color="auto" w:fill="1F4E79"/>
          </w:tcPr>
          <w:p>
            <w:r>
              <w:rPr>
                <w:b/>
                <w:color w:val="FFFFFF"/>
                <w:sz w:val="18"/>
              </w:rPr>
              <w:t>FY2023</w:t>
            </w:r>
          </w:p>
        </w:tc>
        <w:tc>
          <w:tcPr>
            <w:tcW w:type="dxa" w:w="1296"/>
            <w:shd w:val="clear" w:color="auto" w:fill="1F4E79"/>
          </w:tcPr>
          <w:p>
            <w:r>
              <w:rPr>
                <w:b/>
                <w:color w:val="FFFFFF"/>
                <w:sz w:val="18"/>
              </w:rPr>
              <w:t>FY2024</w:t>
            </w:r>
          </w:p>
        </w:tc>
        <w:tc>
          <w:tcPr>
            <w:tcW w:type="dxa" w:w="1296"/>
            <w:shd w:val="clear" w:color="auto" w:fill="1F4E79"/>
          </w:tcPr>
          <w:p>
            <w:r>
              <w:rPr>
                <w:b/>
                <w:color w:val="FFFFFF"/>
                <w:sz w:val="18"/>
              </w:rPr>
              <w:t>FY2025</w:t>
            </w:r>
          </w:p>
        </w:tc>
        <w:tc>
          <w:tcPr>
            <w:tcW w:type="dxa" w:w="1296"/>
            <w:shd w:val="clear" w:color="auto" w:fill="1F4E79"/>
          </w:tcPr>
          <w:p>
            <w:r>
              <w:rPr>
                <w:b/>
                <w:color w:val="FFFFFF"/>
                <w:sz w:val="18"/>
              </w:rPr>
              <w:t>YoY Δ</w:t>
            </w:r>
          </w:p>
        </w:tc>
      </w:tr>
      <w:tr>
        <w:tc>
          <w:tcPr>
            <w:tcW w:type="dxa" w:w="1296"/>
            <w:shd w:val="clear" w:color="auto" w:fill="EBF3FB"/>
          </w:tcPr>
          <w:p>
            <w:r>
              <w:rPr>
                <w:sz w:val="18"/>
              </w:rPr>
              <w:t>Revenue (CNY B)</w:t>
            </w:r>
          </w:p>
        </w:tc>
        <w:tc>
          <w:tcPr>
            <w:tcW w:type="dxa" w:w="1296"/>
            <w:shd w:val="clear" w:color="auto" w:fill="EBF3FB"/>
          </w:tcPr>
          <w:p>
            <w:r>
              <w:rPr>
                <w:sz w:val="18"/>
              </w:rPr>
              <w:t>124.5</w:t>
            </w:r>
          </w:p>
        </w:tc>
        <w:tc>
          <w:tcPr>
            <w:tcW w:type="dxa" w:w="1296"/>
            <w:shd w:val="clear" w:color="auto" w:fill="EBF3FB"/>
          </w:tcPr>
          <w:p>
            <w:r>
              <w:rPr>
                <w:sz w:val="18"/>
              </w:rPr>
              <w:t>123.7</w:t>
            </w:r>
          </w:p>
        </w:tc>
        <w:tc>
          <w:tcPr>
            <w:tcW w:type="dxa" w:w="1296"/>
            <w:shd w:val="clear" w:color="auto" w:fill="EBF3FB"/>
          </w:tcPr>
          <w:p>
            <w:r>
              <w:rPr>
                <w:sz w:val="18"/>
              </w:rPr>
              <w:t>134.6</w:t>
            </w:r>
          </w:p>
        </w:tc>
        <w:tc>
          <w:tcPr>
            <w:tcW w:type="dxa" w:w="1296"/>
            <w:shd w:val="clear" w:color="auto" w:fill="EBF3FB"/>
          </w:tcPr>
          <w:p>
            <w:r>
              <w:rPr>
                <w:sz w:val="18"/>
              </w:rPr>
              <w:t>133.1</w:t>
            </w:r>
          </w:p>
        </w:tc>
        <w:tc>
          <w:tcPr>
            <w:tcW w:type="dxa" w:w="1296"/>
            <w:shd w:val="clear" w:color="auto" w:fill="EBF3FB"/>
          </w:tcPr>
          <w:p>
            <w:r>
              <w:rPr>
                <w:sz w:val="18"/>
              </w:rPr>
              <w:t>129.1</w:t>
            </w:r>
          </w:p>
        </w:tc>
        <w:tc>
          <w:tcPr>
            <w:tcW w:type="dxa" w:w="1296"/>
            <w:shd w:val="clear" w:color="auto" w:fill="EBF3FB"/>
          </w:tcPr>
          <w:p>
            <w:r>
              <w:rPr>
                <w:sz w:val="18"/>
              </w:rPr>
              <w:t>-3.0%</w:t>
            </w:r>
          </w:p>
        </w:tc>
      </w:tr>
      <w:tr>
        <w:tc>
          <w:tcPr>
            <w:tcW w:type="dxa" w:w="1296"/>
            <w:shd w:val="clear" w:color="auto" w:fill="FFFFFF"/>
          </w:tcPr>
          <w:p>
            <w:r>
              <w:rPr>
                <w:sz w:val="18"/>
              </w:rPr>
              <w:t>Gross Margin</w:t>
            </w:r>
          </w:p>
        </w:tc>
        <w:tc>
          <w:tcPr>
            <w:tcW w:type="dxa" w:w="1296"/>
            <w:shd w:val="clear" w:color="auto" w:fill="FFFFFF"/>
          </w:tcPr>
          <w:p>
            <w:r>
              <w:rPr>
                <w:sz w:val="18"/>
              </w:rPr>
              <w:t>—</w:t>
            </w:r>
          </w:p>
        </w:tc>
        <w:tc>
          <w:tcPr>
            <w:tcW w:type="dxa" w:w="1296"/>
            <w:shd w:val="clear" w:color="auto" w:fill="FFFFFF"/>
          </w:tcPr>
          <w:p>
            <w:r>
              <w:rPr>
                <w:sz w:val="18"/>
              </w:rPr>
              <w:t>—</w:t>
            </w:r>
          </w:p>
        </w:tc>
        <w:tc>
          <w:tcPr>
            <w:tcW w:type="dxa" w:w="1296"/>
            <w:shd w:val="clear" w:color="auto" w:fill="FFFFFF"/>
          </w:tcPr>
          <w:p>
            <w:r>
              <w:rPr>
                <w:sz w:val="18"/>
              </w:rPr>
              <w:t>—</w:t>
            </w:r>
          </w:p>
        </w:tc>
        <w:tc>
          <w:tcPr>
            <w:tcW w:type="dxa" w:w="1296"/>
            <w:shd w:val="clear" w:color="auto" w:fill="FFFFFF"/>
          </w:tcPr>
          <w:p>
            <w:r>
              <w:rPr>
                <w:sz w:val="18"/>
              </w:rPr>
              <w:t>—</w:t>
            </w:r>
          </w:p>
        </w:tc>
        <w:tc>
          <w:tcPr>
            <w:tcW w:type="dxa" w:w="1296"/>
            <w:shd w:val="clear" w:color="auto" w:fill="FFFFFF"/>
          </w:tcPr>
          <w:p>
            <w:r>
              <w:rPr>
                <w:sz w:val="18"/>
              </w:rPr>
              <w:t>43.9%</w:t>
            </w:r>
          </w:p>
        </w:tc>
        <w:tc>
          <w:tcPr>
            <w:tcW w:type="dxa" w:w="1296"/>
            <w:shd w:val="clear" w:color="auto" w:fill="FFFFFF"/>
          </w:tcPr>
          <w:p>
            <w:r>
              <w:rPr>
                <w:sz w:val="18"/>
              </w:rPr>
              <w:t>—</w:t>
            </w:r>
          </w:p>
        </w:tc>
      </w:tr>
      <w:tr>
        <w:tc>
          <w:tcPr>
            <w:tcW w:type="dxa" w:w="1296"/>
            <w:shd w:val="clear" w:color="auto" w:fill="EBF3FB"/>
          </w:tcPr>
          <w:p>
            <w:r>
              <w:rPr>
                <w:sz w:val="18"/>
              </w:rPr>
              <w:t>Operating Income (CNY B)</w:t>
            </w:r>
          </w:p>
        </w:tc>
        <w:tc>
          <w:tcPr>
            <w:tcW w:type="dxa" w:w="1296"/>
            <w:shd w:val="clear" w:color="auto" w:fill="EBF3FB"/>
          </w:tcPr>
          <w:p>
            <w:r>
              <w:rPr>
                <w:sz w:val="18"/>
              </w:rPr>
              <w:t>10.5</w:t>
            </w:r>
          </w:p>
        </w:tc>
        <w:tc>
          <w:tcPr>
            <w:tcW w:type="dxa" w:w="1296"/>
            <w:shd w:val="clear" w:color="auto" w:fill="EBF3FB"/>
          </w:tcPr>
          <w:p>
            <w:r>
              <w:rPr>
                <w:sz w:val="18"/>
              </w:rPr>
              <w:t>15.9</w:t>
            </w:r>
          </w:p>
        </w:tc>
        <w:tc>
          <w:tcPr>
            <w:tcW w:type="dxa" w:w="1296"/>
            <w:shd w:val="clear" w:color="auto" w:fill="EBF3FB"/>
          </w:tcPr>
          <w:p>
            <w:r>
              <w:rPr>
                <w:sz w:val="18"/>
              </w:rPr>
              <w:t>21.9</w:t>
            </w:r>
          </w:p>
        </w:tc>
        <w:tc>
          <w:tcPr>
            <w:tcW w:type="dxa" w:w="1296"/>
            <w:shd w:val="clear" w:color="auto" w:fill="EBF3FB"/>
          </w:tcPr>
          <w:p>
            <w:r>
              <w:rPr>
                <w:sz w:val="18"/>
              </w:rPr>
              <w:t>21.3</w:t>
            </w:r>
          </w:p>
        </w:tc>
        <w:tc>
          <w:tcPr>
            <w:tcW w:type="dxa" w:w="1296"/>
            <w:shd w:val="clear" w:color="auto" w:fill="EBF3FB"/>
          </w:tcPr>
          <w:p>
            <w:r>
              <w:rPr>
                <w:sz w:val="18"/>
              </w:rPr>
              <w:t>-5.8</w:t>
            </w:r>
          </w:p>
        </w:tc>
        <w:tc>
          <w:tcPr>
            <w:tcW w:type="dxa" w:w="1296"/>
            <w:shd w:val="clear" w:color="auto" w:fill="EBF3FB"/>
          </w:tcPr>
          <w:p>
            <w:r>
              <w:rPr>
                <w:sz w:val="18"/>
              </w:rPr>
              <w:t>▼</w:t>
            </w:r>
          </w:p>
        </w:tc>
      </w:tr>
      <w:tr>
        <w:tc>
          <w:tcPr>
            <w:tcW w:type="dxa" w:w="1296"/>
            <w:shd w:val="clear" w:color="auto" w:fill="FFFFFF"/>
          </w:tcPr>
          <w:p>
            <w:r>
              <w:rPr>
                <w:sz w:val="18"/>
              </w:rPr>
              <w:t>Operating Margin</w:t>
            </w:r>
          </w:p>
        </w:tc>
        <w:tc>
          <w:tcPr>
            <w:tcW w:type="dxa" w:w="1296"/>
            <w:shd w:val="clear" w:color="auto" w:fill="FFFFFF"/>
          </w:tcPr>
          <w:p>
            <w:r>
              <w:rPr>
                <w:sz w:val="18"/>
              </w:rPr>
              <w:t>—</w:t>
            </w:r>
          </w:p>
        </w:tc>
        <w:tc>
          <w:tcPr>
            <w:tcW w:type="dxa" w:w="1296"/>
            <w:shd w:val="clear" w:color="auto" w:fill="FFFFFF"/>
          </w:tcPr>
          <w:p>
            <w:r>
              <w:rPr>
                <w:sz w:val="18"/>
              </w:rPr>
              <w:t>—</w:t>
            </w:r>
          </w:p>
        </w:tc>
        <w:tc>
          <w:tcPr>
            <w:tcW w:type="dxa" w:w="1296"/>
            <w:shd w:val="clear" w:color="auto" w:fill="FFFFFF"/>
          </w:tcPr>
          <w:p>
            <w:r>
              <w:rPr>
                <w:sz w:val="18"/>
              </w:rPr>
              <w:t>—</w:t>
            </w:r>
          </w:p>
        </w:tc>
        <w:tc>
          <w:tcPr>
            <w:tcW w:type="dxa" w:w="1296"/>
            <w:shd w:val="clear" w:color="auto" w:fill="FFFFFF"/>
          </w:tcPr>
          <w:p>
            <w:r>
              <w:rPr>
                <w:sz w:val="18"/>
              </w:rPr>
              <w:t>—</w:t>
            </w:r>
          </w:p>
        </w:tc>
        <w:tc>
          <w:tcPr>
            <w:tcW w:type="dxa" w:w="1296"/>
            <w:shd w:val="clear" w:color="auto" w:fill="FFFFFF"/>
          </w:tcPr>
          <w:p>
            <w:r>
              <w:rPr>
                <w:sz w:val="18"/>
              </w:rPr>
              <w:t>-4.5%</w:t>
            </w:r>
          </w:p>
        </w:tc>
        <w:tc>
          <w:tcPr>
            <w:tcW w:type="dxa" w:w="1296"/>
            <w:shd w:val="clear" w:color="auto" w:fill="FFFFFF"/>
          </w:tcPr>
          <w:p>
            <w:r>
              <w:rPr>
                <w:sz w:val="18"/>
              </w:rPr>
              <w:t>—</w:t>
            </w:r>
          </w:p>
        </w:tc>
      </w:tr>
      <w:tr>
        <w:tc>
          <w:tcPr>
            <w:tcW w:type="dxa" w:w="1296"/>
            <w:shd w:val="clear" w:color="auto" w:fill="EBF3FB"/>
          </w:tcPr>
          <w:p>
            <w:r>
              <w:rPr>
                <w:sz w:val="18"/>
              </w:rPr>
              <w:t>EBITDA Margin</w:t>
            </w:r>
          </w:p>
        </w:tc>
        <w:tc>
          <w:tcPr>
            <w:tcW w:type="dxa" w:w="1296"/>
            <w:shd w:val="clear" w:color="auto" w:fill="EBF3FB"/>
          </w:tcPr>
          <w:p>
            <w:r>
              <w:rPr>
                <w:sz w:val="18"/>
              </w:rPr>
              <w:t>—</w:t>
            </w:r>
          </w:p>
        </w:tc>
        <w:tc>
          <w:tcPr>
            <w:tcW w:type="dxa" w:w="1296"/>
            <w:shd w:val="clear" w:color="auto" w:fill="EBF3FB"/>
          </w:tcPr>
          <w:p>
            <w:r>
              <w:rPr>
                <w:sz w:val="18"/>
              </w:rPr>
              <w:t>—</w:t>
            </w:r>
          </w:p>
        </w:tc>
        <w:tc>
          <w:tcPr>
            <w:tcW w:type="dxa" w:w="1296"/>
            <w:shd w:val="clear" w:color="auto" w:fill="EBF3FB"/>
          </w:tcPr>
          <w:p>
            <w:r>
              <w:rPr>
                <w:sz w:val="18"/>
              </w:rPr>
              <w:t>—</w:t>
            </w:r>
          </w:p>
        </w:tc>
        <w:tc>
          <w:tcPr>
            <w:tcW w:type="dxa" w:w="1296"/>
            <w:shd w:val="clear" w:color="auto" w:fill="EBF3FB"/>
          </w:tcPr>
          <w:p>
            <w:r>
              <w:rPr>
                <w:sz w:val="18"/>
              </w:rPr>
              <w:t>—</w:t>
            </w:r>
          </w:p>
        </w:tc>
        <w:tc>
          <w:tcPr>
            <w:tcW w:type="dxa" w:w="1296"/>
            <w:shd w:val="clear" w:color="auto" w:fill="EBF3FB"/>
          </w:tcPr>
          <w:p>
            <w:r>
              <w:rPr>
                <w:sz w:val="18"/>
              </w:rPr>
              <w:t>12.0%</w:t>
            </w:r>
          </w:p>
        </w:tc>
        <w:tc>
          <w:tcPr>
            <w:tcW w:type="dxa" w:w="1296"/>
            <w:shd w:val="clear" w:color="auto" w:fill="EBF3FB"/>
          </w:tcPr>
          <w:p>
            <w:r>
              <w:rPr>
                <w:sz w:val="18"/>
              </w:rPr>
              <w:t>—</w:t>
            </w:r>
          </w:p>
        </w:tc>
      </w:tr>
      <w:tr>
        <w:tc>
          <w:tcPr>
            <w:tcW w:type="dxa" w:w="1296"/>
            <w:shd w:val="clear" w:color="auto" w:fill="FFFFFF"/>
          </w:tcPr>
          <w:p>
            <w:r>
              <w:rPr>
                <w:sz w:val="18"/>
              </w:rPr>
              <w:t>Net Income (CNY B)</w:t>
            </w:r>
          </w:p>
        </w:tc>
        <w:tc>
          <w:tcPr>
            <w:tcW w:type="dxa" w:w="1296"/>
            <w:shd w:val="clear" w:color="auto" w:fill="FFFFFF"/>
          </w:tcPr>
          <w:p>
            <w:r>
              <w:rPr>
                <w:sz w:val="18"/>
              </w:rPr>
              <w:t>10.2</w:t>
            </w:r>
          </w:p>
        </w:tc>
        <w:tc>
          <w:tcPr>
            <w:tcW w:type="dxa" w:w="1296"/>
            <w:shd w:val="clear" w:color="auto" w:fill="FFFFFF"/>
          </w:tcPr>
          <w:p>
            <w:r>
              <w:rPr>
                <w:sz w:val="18"/>
              </w:rPr>
              <w:t>7.6</w:t>
            </w:r>
          </w:p>
        </w:tc>
        <w:tc>
          <w:tcPr>
            <w:tcW w:type="dxa" w:w="1296"/>
            <w:shd w:val="clear" w:color="auto" w:fill="FFFFFF"/>
          </w:tcPr>
          <w:p>
            <w:r>
              <w:rPr>
                <w:sz w:val="18"/>
              </w:rPr>
              <w:t>20.3</w:t>
            </w:r>
          </w:p>
        </w:tc>
        <w:tc>
          <w:tcPr>
            <w:tcW w:type="dxa" w:w="1296"/>
            <w:shd w:val="clear" w:color="auto" w:fill="FFFFFF"/>
          </w:tcPr>
          <w:p>
            <w:r>
              <w:rPr>
                <w:sz w:val="18"/>
              </w:rPr>
              <w:t>23.8</w:t>
            </w:r>
          </w:p>
        </w:tc>
        <w:tc>
          <w:tcPr>
            <w:tcW w:type="dxa" w:w="1296"/>
            <w:shd w:val="clear" w:color="auto" w:fill="FFFFFF"/>
          </w:tcPr>
          <w:p>
            <w:r>
              <w:rPr>
                <w:sz w:val="18"/>
              </w:rPr>
              <w:t>5.6</w:t>
            </w:r>
          </w:p>
        </w:tc>
        <w:tc>
          <w:tcPr>
            <w:tcW w:type="dxa" w:w="1296"/>
            <w:shd w:val="clear" w:color="auto" w:fill="FFFFFF"/>
          </w:tcPr>
          <w:p>
            <w:r>
              <w:rPr>
                <w:sz w:val="18"/>
              </w:rPr>
              <w:t>-76.5%</w:t>
            </w:r>
          </w:p>
        </w:tc>
      </w:tr>
      <w:tr>
        <w:tc>
          <w:tcPr>
            <w:tcW w:type="dxa" w:w="1296"/>
            <w:shd w:val="clear" w:color="auto" w:fill="EBF3FB"/>
          </w:tcPr>
          <w:p>
            <w:r>
              <w:rPr>
                <w:sz w:val="18"/>
              </w:rPr>
              <w:t>Diluted EPS (CNY)</w:t>
            </w:r>
          </w:p>
        </w:tc>
        <w:tc>
          <w:tcPr>
            <w:tcW w:type="dxa" w:w="1296"/>
            <w:shd w:val="clear" w:color="auto" w:fill="EBF3FB"/>
          </w:tcPr>
          <w:p>
            <w:r>
              <w:rPr>
                <w:sz w:val="18"/>
              </w:rPr>
              <w:t>28.1</w:t>
            </w:r>
          </w:p>
        </w:tc>
        <w:tc>
          <w:tcPr>
            <w:tcW w:type="dxa" w:w="1296"/>
            <w:shd w:val="clear" w:color="auto" w:fill="EBF3FB"/>
          </w:tcPr>
          <w:p>
            <w:r>
              <w:rPr>
                <w:sz w:val="18"/>
              </w:rPr>
              <w:t>19.8</w:t>
            </w:r>
          </w:p>
        </w:tc>
        <w:tc>
          <w:tcPr>
            <w:tcW w:type="dxa" w:w="1296"/>
            <w:shd w:val="clear" w:color="auto" w:fill="EBF3FB"/>
          </w:tcPr>
          <w:p>
            <w:r>
              <w:rPr>
                <w:sz w:val="18"/>
              </w:rPr>
              <w:t>55.1</w:t>
            </w:r>
          </w:p>
        </w:tc>
        <w:tc>
          <w:tcPr>
            <w:tcW w:type="dxa" w:w="1296"/>
            <w:shd w:val="clear" w:color="auto" w:fill="EBF3FB"/>
          </w:tcPr>
          <w:p>
            <w:r>
              <w:rPr>
                <w:sz w:val="18"/>
              </w:rPr>
              <w:t>65.9</w:t>
            </w:r>
          </w:p>
        </w:tc>
        <w:tc>
          <w:tcPr>
            <w:tcW w:type="dxa" w:w="1296"/>
            <w:shd w:val="clear" w:color="auto" w:fill="EBF3FB"/>
          </w:tcPr>
          <w:p>
            <w:r>
              <w:rPr>
                <w:sz w:val="18"/>
              </w:rPr>
              <w:t>11.8</w:t>
            </w:r>
          </w:p>
        </w:tc>
        <w:tc>
          <w:tcPr>
            <w:tcW w:type="dxa" w:w="1296"/>
            <w:shd w:val="clear" w:color="auto" w:fill="EBF3FB"/>
          </w:tcPr>
          <w:p>
            <w:r>
              <w:rPr>
                <w:sz w:val="18"/>
              </w:rPr>
              <w:t>-82.2%</w:t>
            </w:r>
          </w:p>
        </w:tc>
      </w:tr>
      <w:tr>
        <w:tc>
          <w:tcPr>
            <w:tcW w:type="dxa" w:w="1296"/>
            <w:shd w:val="clear" w:color="auto" w:fill="FFFFFF"/>
          </w:tcPr>
          <w:p>
            <w:r>
              <w:rPr>
                <w:sz w:val="18"/>
              </w:rPr>
              <w:t>OCF (CNY B)</w:t>
            </w:r>
          </w:p>
        </w:tc>
        <w:tc>
          <w:tcPr>
            <w:tcW w:type="dxa" w:w="1296"/>
            <w:shd w:val="clear" w:color="auto" w:fill="FFFFFF"/>
          </w:tcPr>
          <w:p>
            <w:r>
              <w:rPr>
                <w:sz w:val="18"/>
              </w:rPr>
              <w:t>20.1</w:t>
            </w:r>
          </w:p>
        </w:tc>
        <w:tc>
          <w:tcPr>
            <w:tcW w:type="dxa" w:w="1296"/>
            <w:shd w:val="clear" w:color="auto" w:fill="FFFFFF"/>
          </w:tcPr>
          <w:p>
            <w:r>
              <w:rPr>
                <w:sz w:val="18"/>
              </w:rPr>
              <w:t>26.2</w:t>
            </w:r>
          </w:p>
        </w:tc>
        <w:tc>
          <w:tcPr>
            <w:tcW w:type="dxa" w:w="1296"/>
            <w:shd w:val="clear" w:color="auto" w:fill="FFFFFF"/>
          </w:tcPr>
          <w:p>
            <w:r>
              <w:rPr>
                <w:sz w:val="18"/>
              </w:rPr>
              <w:t>36.6</w:t>
            </w:r>
          </w:p>
        </w:tc>
        <w:tc>
          <w:tcPr>
            <w:tcW w:type="dxa" w:w="1296"/>
            <w:shd w:val="clear" w:color="auto" w:fill="FFFFFF"/>
          </w:tcPr>
          <w:p>
            <w:r>
              <w:rPr>
                <w:sz w:val="18"/>
              </w:rPr>
              <w:t>21.2</w:t>
            </w:r>
          </w:p>
        </w:tc>
        <w:tc>
          <w:tcPr>
            <w:tcW w:type="dxa" w:w="1296"/>
            <w:shd w:val="clear" w:color="auto" w:fill="FFFFFF"/>
          </w:tcPr>
          <w:p>
            <w:r>
              <w:rPr>
                <w:sz w:val="18"/>
              </w:rPr>
              <w:t>-3.0</w:t>
            </w:r>
          </w:p>
        </w:tc>
        <w:tc>
          <w:tcPr>
            <w:tcW w:type="dxa" w:w="1296"/>
            <w:shd w:val="clear" w:color="auto" w:fill="FFFFFF"/>
          </w:tcPr>
          <w:p>
            <w:r>
              <w:rPr>
                <w:sz w:val="18"/>
              </w:rPr>
              <w:t>▼▼</w:t>
            </w:r>
          </w:p>
        </w:tc>
      </w:tr>
      <w:tr>
        <w:tc>
          <w:tcPr>
            <w:tcW w:type="dxa" w:w="1296"/>
            <w:shd w:val="clear" w:color="auto" w:fill="EBF3FB"/>
          </w:tcPr>
          <w:p>
            <w:r>
              <w:rPr>
                <w:sz w:val="18"/>
              </w:rPr>
              <w:t>CapEx (CNY B)</w:t>
            </w:r>
          </w:p>
        </w:tc>
        <w:tc>
          <w:tcPr>
            <w:tcW w:type="dxa" w:w="1296"/>
            <w:shd w:val="clear" w:color="auto" w:fill="EBF3FB"/>
          </w:tcPr>
          <w:p>
            <w:r>
              <w:rPr>
                <w:sz w:val="18"/>
              </w:rPr>
              <w:t>-10.9</w:t>
            </w:r>
          </w:p>
        </w:tc>
        <w:tc>
          <w:tcPr>
            <w:tcW w:type="dxa" w:w="1296"/>
            <w:shd w:val="clear" w:color="auto" w:fill="EBF3FB"/>
          </w:tcPr>
          <w:p>
            <w:r>
              <w:rPr>
                <w:sz w:val="18"/>
              </w:rPr>
              <w:t>—</w:t>
            </w:r>
          </w:p>
        </w:tc>
        <w:tc>
          <w:tcPr>
            <w:tcW w:type="dxa" w:w="1296"/>
            <w:shd w:val="clear" w:color="auto" w:fill="EBF3FB"/>
          </w:tcPr>
          <w:p>
            <w:r>
              <w:rPr>
                <w:sz w:val="18"/>
              </w:rPr>
              <w:t>-11.2</w:t>
            </w:r>
          </w:p>
        </w:tc>
        <w:tc>
          <w:tcPr>
            <w:tcW w:type="dxa" w:w="1296"/>
            <w:shd w:val="clear" w:color="auto" w:fill="EBF3FB"/>
          </w:tcPr>
          <w:p>
            <w:r>
              <w:rPr>
                <w:sz w:val="18"/>
              </w:rPr>
              <w:t>-8.1</w:t>
            </w:r>
          </w:p>
        </w:tc>
        <w:tc>
          <w:tcPr>
            <w:tcW w:type="dxa" w:w="1296"/>
            <w:shd w:val="clear" w:color="auto" w:fill="EBF3FB"/>
          </w:tcPr>
          <w:p>
            <w:r>
              <w:rPr>
                <w:sz w:val="18"/>
              </w:rPr>
              <w:t>-12.1</w:t>
            </w:r>
          </w:p>
        </w:tc>
        <w:tc>
          <w:tcPr>
            <w:tcW w:type="dxa" w:w="1296"/>
            <w:shd w:val="clear" w:color="auto" w:fill="EBF3FB"/>
          </w:tcPr>
          <w:p>
            <w:r>
              <w:rPr>
                <w:sz w:val="18"/>
              </w:rPr>
              <w:t>+49%</w:t>
            </w:r>
          </w:p>
        </w:tc>
      </w:tr>
      <w:tr>
        <w:tc>
          <w:tcPr>
            <w:tcW w:type="dxa" w:w="1296"/>
            <w:shd w:val="clear" w:color="auto" w:fill="FFFFFF"/>
          </w:tcPr>
          <w:p>
            <w:r>
              <w:rPr>
                <w:sz w:val="18"/>
              </w:rPr>
              <w:t>Free Cash Flow (CNY B)</w:t>
            </w:r>
          </w:p>
        </w:tc>
        <w:tc>
          <w:tcPr>
            <w:tcW w:type="dxa" w:w="1296"/>
            <w:shd w:val="clear" w:color="auto" w:fill="FFFFFF"/>
          </w:tcPr>
          <w:p>
            <w:r>
              <w:rPr>
                <w:sz w:val="18"/>
              </w:rPr>
              <w:t>9.2</w:t>
            </w:r>
          </w:p>
        </w:tc>
        <w:tc>
          <w:tcPr>
            <w:tcW w:type="dxa" w:w="1296"/>
            <w:shd w:val="clear" w:color="auto" w:fill="FFFFFF"/>
          </w:tcPr>
          <w:p>
            <w:r>
              <w:rPr>
                <w:sz w:val="18"/>
              </w:rPr>
              <w:t>26.2</w:t>
            </w:r>
          </w:p>
        </w:tc>
        <w:tc>
          <w:tcPr>
            <w:tcW w:type="dxa" w:w="1296"/>
            <w:shd w:val="clear" w:color="auto" w:fill="FFFFFF"/>
          </w:tcPr>
          <w:p>
            <w:r>
              <w:rPr>
                <w:sz w:val="18"/>
              </w:rPr>
              <w:t>25.4</w:t>
            </w:r>
          </w:p>
        </w:tc>
        <w:tc>
          <w:tcPr>
            <w:tcW w:type="dxa" w:w="1296"/>
            <w:shd w:val="clear" w:color="auto" w:fill="FFFFFF"/>
          </w:tcPr>
          <w:p>
            <w:r>
              <w:rPr>
                <w:sz w:val="18"/>
              </w:rPr>
              <w:t>13.1</w:t>
            </w:r>
          </w:p>
        </w:tc>
        <w:tc>
          <w:tcPr>
            <w:tcW w:type="dxa" w:w="1296"/>
            <w:shd w:val="clear" w:color="auto" w:fill="FFFFFF"/>
          </w:tcPr>
          <w:p>
            <w:r>
              <w:rPr>
                <w:sz w:val="18"/>
              </w:rPr>
              <w:t>-15.1</w:t>
            </w:r>
          </w:p>
        </w:tc>
        <w:tc>
          <w:tcPr>
            <w:tcW w:type="dxa" w:w="1296"/>
            <w:shd w:val="clear" w:color="auto" w:fill="FFFFFF"/>
          </w:tcPr>
          <w:p>
            <w:r>
              <w:rPr>
                <w:sz w:val="18"/>
              </w:rPr>
              <w:t>▼▼ (trough)</w:t>
            </w:r>
          </w:p>
        </w:tc>
      </w:tr>
    </w:tbl>
    <w:p>
      <w:r>
        <w:rPr>
          <w:b w:val="0"/>
          <w:sz w:val="18"/>
        </w:rPr>
        <w:t>⚠️ FY2025 FCF caveat: Negative FCF driven by (a) AI capex +49% YoY to CNY 12.1B and (b) ~CNY 33.8B swing in fair-value changes on investment portfolio. FY2024's CNY 13.1B FCF is used as normalized base for DCF.</w:t>
      </w:r>
    </w:p>
    <w:p/>
    <w:p>
      <w:pPr>
        <w:pStyle w:val="Heading2"/>
        <w:jc w:val="left"/>
      </w:pPr>
      <w:r>
        <w:rPr>
          <w:color w:val="1F4E79"/>
        </w:rPr>
        <w:t>Balance Sheet Snapshot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Pr>
                <w:b/>
                <w:color w:val="FFFFFF"/>
                <w:sz w:val="18"/>
              </w:rPr>
              <w:t>Item</w:t>
            </w:r>
          </w:p>
        </w:tc>
        <w:tc>
          <w:tcPr>
            <w:tcW w:type="dxa" w:w="3024"/>
            <w:shd w:val="clear" w:color="auto" w:fill="1F4E79"/>
          </w:tcPr>
          <w:p>
            <w:r>
              <w:rPr>
                <w:b/>
                <w:color w:val="FFFFFF"/>
                <w:sz w:val="18"/>
              </w:rPr>
              <w:t>CNY B</w:t>
            </w:r>
          </w:p>
        </w:tc>
        <w:tc>
          <w:tcPr>
            <w:tcW w:type="dxa" w:w="3024"/>
            <w:shd w:val="clear" w:color="auto" w:fill="1F4E79"/>
          </w:tcPr>
          <w:p>
            <w:r>
              <w:rPr>
                <w:b/>
                <w:color w:val="FFFFFF"/>
                <w:sz w:val="18"/>
              </w:rPr>
              <w:t>USD B</w:t>
            </w:r>
          </w:p>
        </w:tc>
      </w:tr>
      <w:tr>
        <w:tc>
          <w:tcPr>
            <w:tcW w:type="dxa" w:w="3024"/>
            <w:shd w:val="clear" w:color="auto" w:fill="EBF3FB"/>
          </w:tcPr>
          <w:p>
            <w:r>
              <w:rPr>
                <w:sz w:val="18"/>
              </w:rPr>
              <w:t>Cash + ST Investments</w:t>
            </w:r>
          </w:p>
        </w:tc>
        <w:tc>
          <w:tcPr>
            <w:tcW w:type="dxa" w:w="3024"/>
            <w:shd w:val="clear" w:color="auto" w:fill="EBF3FB"/>
          </w:tcPr>
          <w:p>
            <w:r>
              <w:rPr>
                <w:sz w:val="18"/>
              </w:rPr>
              <w:t>141.8</w:t>
            </w:r>
          </w:p>
        </w:tc>
        <w:tc>
          <w:tcPr>
            <w:tcW w:type="dxa" w:w="3024"/>
            <w:shd w:val="clear" w:color="auto" w:fill="EBF3FB"/>
          </w:tcPr>
          <w:p>
            <w:r>
              <w:rPr>
                <w:sz w:val="18"/>
              </w:rPr>
              <w:t>$20.0B</w:t>
            </w:r>
          </w:p>
        </w:tc>
      </w:tr>
      <w:tr>
        <w:tc>
          <w:tcPr>
            <w:tcW w:type="dxa" w:w="3024"/>
            <w:shd w:val="clear" w:color="auto" w:fill="FFFFFF"/>
          </w:tcPr>
          <w:p>
            <w:r>
              <w:rPr>
                <w:sz w:val="18"/>
              </w:rPr>
              <w:t>Total Debt</w:t>
            </w:r>
          </w:p>
        </w:tc>
        <w:tc>
          <w:tcPr>
            <w:tcW w:type="dxa" w:w="3024"/>
            <w:shd w:val="clear" w:color="auto" w:fill="FFFFFF"/>
          </w:tcPr>
          <w:p>
            <w:r>
              <w:rPr>
                <w:sz w:val="18"/>
              </w:rPr>
              <w:t>93.5</w:t>
            </w:r>
          </w:p>
        </w:tc>
        <w:tc>
          <w:tcPr>
            <w:tcW w:type="dxa" w:w="3024"/>
            <w:shd w:val="clear" w:color="auto" w:fill="FFFFFF"/>
          </w:tcPr>
          <w:p>
            <w:r>
              <w:rPr>
                <w:sz w:val="18"/>
              </w:rPr>
              <w:t>$13.2B</w:t>
            </w:r>
          </w:p>
        </w:tc>
      </w:tr>
      <w:tr>
        <w:tc>
          <w:tcPr>
            <w:tcW w:type="dxa" w:w="3024"/>
            <w:shd w:val="clear" w:color="auto" w:fill="EBF3FB"/>
          </w:tcPr>
          <w:p>
            <w:r>
              <w:rPr>
                <w:sz w:val="18"/>
              </w:rPr>
              <w:t>Net Cash</w:t>
            </w:r>
          </w:p>
        </w:tc>
        <w:tc>
          <w:tcPr>
            <w:tcW w:type="dxa" w:w="3024"/>
            <w:shd w:val="clear" w:color="auto" w:fill="EBF3FB"/>
          </w:tcPr>
          <w:p>
            <w:r>
              <w:rPr>
                <w:sz w:val="18"/>
              </w:rPr>
              <w:t>~35.1</w:t>
            </w:r>
          </w:p>
        </w:tc>
        <w:tc>
          <w:tcPr>
            <w:tcW w:type="dxa" w:w="3024"/>
            <w:shd w:val="clear" w:color="auto" w:fill="EBF3FB"/>
          </w:tcPr>
          <w:p>
            <w:r>
              <w:rPr>
                <w:sz w:val="18"/>
              </w:rPr>
              <w:t>~$4.9B (~$14.5/ADS)</w:t>
            </w:r>
          </w:p>
        </w:tc>
      </w:tr>
      <w:tr>
        <w:tc>
          <w:tcPr>
            <w:tcW w:type="dxa" w:w="3024"/>
            <w:shd w:val="clear" w:color="auto" w:fill="FFFFFF"/>
          </w:tcPr>
          <w:p>
            <w:r>
              <w:rPr>
                <w:sz w:val="18"/>
              </w:rPr>
              <w:t>Total Equity</w:t>
            </w:r>
          </w:p>
        </w:tc>
        <w:tc>
          <w:tcPr>
            <w:tcW w:type="dxa" w:w="3024"/>
            <w:shd w:val="clear" w:color="auto" w:fill="FFFFFF"/>
          </w:tcPr>
          <w:p>
            <w:r>
              <w:rPr>
                <w:sz w:val="18"/>
              </w:rPr>
              <w:t>290.1</w:t>
            </w:r>
          </w:p>
        </w:tc>
        <w:tc>
          <w:tcPr>
            <w:tcW w:type="dxa" w:w="3024"/>
            <w:shd w:val="clear" w:color="auto" w:fill="FFFFFF"/>
          </w:tcPr>
          <w:p>
            <w:r>
              <w:rPr>
                <w:sz w:val="18"/>
              </w:rPr>
              <w:t>$40.9B</w:t>
            </w:r>
          </w:p>
        </w:tc>
      </w:tr>
      <w:tr>
        <w:tc>
          <w:tcPr>
            <w:tcW w:type="dxa" w:w="3024"/>
            <w:shd w:val="clear" w:color="auto" w:fill="EBF3FB"/>
          </w:tcPr>
          <w:p>
            <w:r>
              <w:rPr>
                <w:sz w:val="18"/>
              </w:rPr>
              <w:t>D/E Ratio</w:t>
            </w:r>
          </w:p>
        </w:tc>
        <w:tc>
          <w:tcPr>
            <w:tcW w:type="dxa" w:w="3024"/>
            <w:shd w:val="clear" w:color="auto" w:fill="EBF3FB"/>
          </w:tcPr>
          <w:p>
            <w:r>
              <w:rPr>
                <w:sz w:val="18"/>
              </w:rPr>
              <w:t>32.2%</w:t>
            </w:r>
          </w:p>
        </w:tc>
        <w:tc>
          <w:tcPr>
            <w:tcW w:type="dxa" w:w="3024"/>
            <w:shd w:val="clear" w:color="auto" w:fill="EBF3FB"/>
          </w:tcPr>
          <w:p>
            <w:r>
              <w:rPr>
                <w:sz w:val="18"/>
              </w:rPr>
              <w:t>—</w:t>
            </w:r>
          </w:p>
        </w:tc>
      </w:tr>
      <w:tr>
        <w:tc>
          <w:tcPr>
            <w:tcW w:type="dxa" w:w="3024"/>
            <w:shd w:val="clear" w:color="auto" w:fill="FFFFFF"/>
          </w:tcPr>
          <w:p>
            <w:r>
              <w:rPr>
                <w:sz w:val="18"/>
              </w:rPr>
              <w:t>Market Cap (at $111)</w:t>
            </w:r>
          </w:p>
        </w:tc>
        <w:tc>
          <w:tcPr>
            <w:tcW w:type="dxa" w:w="3024"/>
            <w:shd w:val="clear" w:color="auto" w:fill="FFFFFF"/>
          </w:tcPr>
          <w:p>
            <w:r>
              <w:rPr>
                <w:sz w:val="18"/>
              </w:rPr>
              <w:t>—</w:t>
            </w:r>
          </w:p>
        </w:tc>
        <w:tc>
          <w:tcPr>
            <w:tcW w:type="dxa" w:w="3024"/>
            <w:shd w:val="clear" w:color="auto" w:fill="FFFFFF"/>
          </w:tcPr>
          <w:p>
            <w:r>
              <w:rPr>
                <w:sz w:val="18"/>
              </w:rPr>
              <w:t>$38.1B</w:t>
            </w:r>
          </w:p>
        </w:tc>
      </w:tr>
      <w:tr>
        <w:tc>
          <w:tcPr>
            <w:tcW w:type="dxa" w:w="3024"/>
            <w:shd w:val="clear" w:color="auto" w:fill="EBF3FB"/>
          </w:tcPr>
          <w:p>
            <w:r>
              <w:rPr>
                <w:sz w:val="18"/>
              </w:rPr>
              <w:t>P/Book</w:t>
            </w:r>
          </w:p>
        </w:tc>
        <w:tc>
          <w:tcPr>
            <w:tcW w:type="dxa" w:w="3024"/>
            <w:shd w:val="clear" w:color="auto" w:fill="EBF3FB"/>
          </w:tcPr>
          <w:p>
            <w:r>
              <w:rPr>
                <w:sz w:val="18"/>
              </w:rPr>
              <w:t>—</w:t>
            </w:r>
          </w:p>
        </w:tc>
        <w:tc>
          <w:tcPr>
            <w:tcW w:type="dxa" w:w="3024"/>
            <w:shd w:val="clear" w:color="auto" w:fill="EBF3FB"/>
          </w:tcPr>
          <w:p>
            <w:r>
              <w:rPr>
                <w:sz w:val="18"/>
              </w:rPr>
              <w:t>0.93x</w:t>
            </w:r>
          </w:p>
        </w:tc>
      </w:tr>
    </w:tbl>
    <w:p>
      <w:r>
        <w:rPr>
          <w:b w:val="0"/>
          <w:sz w:val="18"/>
        </w:rPr>
        <w:t>Balance sheet verdict: Fortress. Net cash ~$4.9B = ~13% of market cap. D/E declining (from 39.8% five years ago).</w:t>
      </w:r>
    </w:p>
    <w:p/>
    <w:p>
      <w:pPr>
        <w:pStyle w:val="Heading2"/>
        <w:jc w:val="left"/>
      </w:pPr>
      <w:r>
        <w:rPr>
          <w:color w:val="1F4E79"/>
        </w:rPr>
        <w:t>AI Business Momentum (Q4 2025 / FY2025)</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sz w:val="18"/>
              </w:rPr>
              <w:t>Segment / Metric</w:t>
            </w:r>
          </w:p>
        </w:tc>
        <w:tc>
          <w:tcPr>
            <w:tcW w:type="dxa" w:w="4536"/>
            <w:shd w:val="clear" w:color="auto" w:fill="1F4E79"/>
          </w:tcPr>
          <w:p>
            <w:r>
              <w:rPr>
                <w:b/>
                <w:color w:val="FFFFFF"/>
                <w:sz w:val="18"/>
              </w:rPr>
              <w:t>Value</w:t>
            </w:r>
          </w:p>
        </w:tc>
      </w:tr>
      <w:tr>
        <w:tc>
          <w:tcPr>
            <w:tcW w:type="dxa" w:w="4536"/>
            <w:shd w:val="clear" w:color="auto" w:fill="EBF3FB"/>
          </w:tcPr>
          <w:p>
            <w:r>
              <w:rPr>
                <w:sz w:val="18"/>
              </w:rPr>
              <w:t>AI Cloud Revenue YoY Growth</w:t>
            </w:r>
          </w:p>
        </w:tc>
        <w:tc>
          <w:tcPr>
            <w:tcW w:type="dxa" w:w="4536"/>
            <w:shd w:val="clear" w:color="auto" w:fill="EBF3FB"/>
          </w:tcPr>
          <w:p>
            <w:r>
              <w:rPr>
                <w:sz w:val="18"/>
              </w:rPr>
              <w:t>+33% to RMB 4.2B</w:t>
            </w:r>
          </w:p>
        </w:tc>
      </w:tr>
      <w:tr>
        <w:tc>
          <w:tcPr>
            <w:tcW w:type="dxa" w:w="4536"/>
            <w:shd w:val="clear" w:color="auto" w:fill="FFFFFF"/>
          </w:tcPr>
          <w:p>
            <w:r>
              <w:rPr>
                <w:sz w:val="18"/>
              </w:rPr>
              <w:t>AI Subscription Revenue YoY Growth</w:t>
            </w:r>
          </w:p>
        </w:tc>
        <w:tc>
          <w:tcPr>
            <w:tcW w:type="dxa" w:w="4536"/>
            <w:shd w:val="clear" w:color="auto" w:fill="FFFFFF"/>
          </w:tcPr>
          <w:p>
            <w:r>
              <w:rPr>
                <w:sz w:val="18"/>
              </w:rPr>
              <w:t>+128%</w:t>
            </w:r>
          </w:p>
        </w:tc>
      </w:tr>
      <w:tr>
        <w:tc>
          <w:tcPr>
            <w:tcW w:type="dxa" w:w="4536"/>
            <w:shd w:val="clear" w:color="auto" w:fill="EBF3FB"/>
          </w:tcPr>
          <w:p>
            <w:r>
              <w:rPr>
                <w:sz w:val="18"/>
              </w:rPr>
              <w:t>AI-Powered Core Revenue (share)</w:t>
            </w:r>
          </w:p>
        </w:tc>
        <w:tc>
          <w:tcPr>
            <w:tcW w:type="dxa" w:w="4536"/>
            <w:shd w:val="clear" w:color="auto" w:fill="EBF3FB"/>
          </w:tcPr>
          <w:p>
            <w:r>
              <w:rPr>
                <w:sz w:val="18"/>
              </w:rPr>
              <w:t>43% of general business (&gt;RMB 11B)</w:t>
            </w:r>
          </w:p>
        </w:tc>
      </w:tr>
      <w:tr>
        <w:tc>
          <w:tcPr>
            <w:tcW w:type="dxa" w:w="4536"/>
            <w:shd w:val="clear" w:color="auto" w:fill="FFFFFF"/>
          </w:tcPr>
          <w:p>
            <w:r>
              <w:rPr>
                <w:sz w:val="18"/>
              </w:rPr>
              <w:t>ERNIE 4.5 vs GPT-4.5</w:t>
            </w:r>
          </w:p>
        </w:tc>
        <w:tc>
          <w:tcPr>
            <w:tcW w:type="dxa" w:w="4536"/>
            <w:shd w:val="clear" w:color="auto" w:fill="FFFFFF"/>
          </w:tcPr>
          <w:p>
            <w:r>
              <w:rPr>
                <w:sz w:val="18"/>
              </w:rPr>
              <w:t>Outperforms at 1% of GPT-4.5 price</w:t>
            </w:r>
          </w:p>
        </w:tc>
      </w:tr>
      <w:tr>
        <w:tc>
          <w:tcPr>
            <w:tcW w:type="dxa" w:w="4536"/>
            <w:shd w:val="clear" w:color="auto" w:fill="EBF3FB"/>
          </w:tcPr>
          <w:p>
            <w:r>
              <w:rPr>
                <w:sz w:val="18"/>
              </w:rPr>
              <w:t>ERNIE 5.0 Launch</w:t>
            </w:r>
          </w:p>
        </w:tc>
        <w:tc>
          <w:tcPr>
            <w:tcW w:type="dxa" w:w="4536"/>
            <w:shd w:val="clear" w:color="auto" w:fill="EBF3FB"/>
          </w:tcPr>
          <w:p>
            <w:r>
              <w:rPr>
                <w:sz w:val="18"/>
              </w:rPr>
              <w:t>Nov 2025 (natively omnimodal: text/image/audio/video)</w:t>
            </w:r>
          </w:p>
        </w:tc>
      </w:tr>
      <w:tr>
        <w:tc>
          <w:tcPr>
            <w:tcW w:type="dxa" w:w="4536"/>
            <w:shd w:val="clear" w:color="auto" w:fill="FFFFFF"/>
          </w:tcPr>
          <w:p>
            <w:r>
              <w:rPr>
                <w:sz w:val="18"/>
              </w:rPr>
              <w:t>Apollo Go Cumulative Rides</w:t>
            </w:r>
          </w:p>
        </w:tc>
        <w:tc>
          <w:tcPr>
            <w:tcW w:type="dxa" w:w="4536"/>
            <w:shd w:val="clear" w:color="auto" w:fill="FFFFFF"/>
          </w:tcPr>
          <w:p>
            <w:r>
              <w:rPr>
                <w:sz w:val="18"/>
              </w:rPr>
              <w:t>20M+</w:t>
            </w:r>
          </w:p>
        </w:tc>
      </w:tr>
      <w:tr>
        <w:tc>
          <w:tcPr>
            <w:tcW w:type="dxa" w:w="4536"/>
            <w:shd w:val="clear" w:color="auto" w:fill="EBF3FB"/>
          </w:tcPr>
          <w:p>
            <w:r>
              <w:rPr>
                <w:sz w:val="18"/>
              </w:rPr>
              <w:t>Apollo Go Weekly Rides (Q4 2025 peak)</w:t>
            </w:r>
          </w:p>
        </w:tc>
        <w:tc>
          <w:tcPr>
            <w:tcW w:type="dxa" w:w="4536"/>
            <w:shd w:val="clear" w:color="auto" w:fill="EBF3FB"/>
          </w:tcPr>
          <w:p>
            <w:r>
              <w:rPr>
                <w:sz w:val="18"/>
              </w:rPr>
              <w:t>300,000</w:t>
            </w:r>
          </w:p>
        </w:tc>
      </w:tr>
      <w:tr>
        <w:tc>
          <w:tcPr>
            <w:tcW w:type="dxa" w:w="4536"/>
            <w:shd w:val="clear" w:color="auto" w:fill="FFFFFF"/>
          </w:tcPr>
          <w:p>
            <w:r>
              <w:rPr>
                <w:sz w:val="18"/>
              </w:rPr>
              <w:t>Apollo Go Fully Autonomous YoY Growth</w:t>
            </w:r>
          </w:p>
        </w:tc>
        <w:tc>
          <w:tcPr>
            <w:tcW w:type="dxa" w:w="4536"/>
            <w:shd w:val="clear" w:color="auto" w:fill="FFFFFF"/>
          </w:tcPr>
          <w:p>
            <w:r>
              <w:rPr>
                <w:sz w:val="18"/>
              </w:rPr>
              <w:t>+200%</w:t>
            </w:r>
          </w:p>
        </w:tc>
      </w:tr>
      <w:tr>
        <w:tc>
          <w:tcPr>
            <w:tcW w:type="dxa" w:w="4536"/>
            <w:shd w:val="clear" w:color="auto" w:fill="EBF3FB"/>
          </w:tcPr>
          <w:p>
            <w:r>
              <w:rPr>
                <w:sz w:val="18"/>
              </w:rPr>
              <w:t>Apollo Go Global Footprint</w:t>
            </w:r>
          </w:p>
        </w:tc>
        <w:tc>
          <w:tcPr>
            <w:tcW w:type="dxa" w:w="4536"/>
            <w:shd w:val="clear" w:color="auto" w:fill="EBF3FB"/>
          </w:tcPr>
          <w:p>
            <w:r>
              <w:rPr>
                <w:sz w:val="18"/>
              </w:rPr>
              <w:t>26 cities incl. South Korea</w:t>
            </w:r>
          </w:p>
        </w:tc>
      </w:tr>
      <w:tr>
        <w:tc>
          <w:tcPr>
            <w:tcW w:type="dxa" w:w="4536"/>
            <w:shd w:val="clear" w:color="auto" w:fill="FFFFFF"/>
          </w:tcPr>
          <w:p>
            <w:r>
              <w:rPr>
                <w:sz w:val="18"/>
              </w:rPr>
              <w:t>Baidu App MAU (Mar 2025)</w:t>
            </w:r>
          </w:p>
        </w:tc>
        <w:tc>
          <w:tcPr>
            <w:tcW w:type="dxa" w:w="4536"/>
            <w:shd w:val="clear" w:color="auto" w:fill="FFFFFF"/>
          </w:tcPr>
          <w:p>
            <w:r>
              <w:rPr>
                <w:sz w:val="18"/>
              </w:rPr>
              <w:t>724M</w:t>
            </w:r>
          </w:p>
        </w:tc>
      </w:tr>
      <w:tr>
        <w:tc>
          <w:tcPr>
            <w:tcW w:type="dxa" w:w="4536"/>
            <w:shd w:val="clear" w:color="auto" w:fill="EBF3FB"/>
          </w:tcPr>
          <w:p>
            <w:r>
              <w:rPr>
                <w:sz w:val="18"/>
              </w:rPr>
              <w:t>Kunlunxin Chips M100/M300</w:t>
            </w:r>
          </w:p>
        </w:tc>
        <w:tc>
          <w:tcPr>
            <w:tcW w:type="dxa" w:w="4536"/>
            <w:shd w:val="clear" w:color="auto" w:fill="EBF3FB"/>
          </w:tcPr>
          <w:p>
            <w:r>
              <w:rPr>
                <w:sz w:val="18"/>
              </w:rPr>
              <w:t>Launching 2026/2027</w:t>
            </w:r>
          </w:p>
        </w:tc>
      </w:tr>
    </w:tbl>
    <w:p/>
    <w:p>
      <w:pPr>
        <w:pStyle w:val="Heading2"/>
        <w:jc w:val="left"/>
      </w:pPr>
      <w:r>
        <w:rPr>
          <w:color w:val="1F4E79"/>
        </w:rPr>
        <w:t>Competitive Landscape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Pr>
                <w:b/>
                <w:color w:val="FFFFFF"/>
                <w:sz w:val="18"/>
              </w:rPr>
              <w:t>Segment</w:t>
            </w:r>
          </w:p>
        </w:tc>
        <w:tc>
          <w:tcPr>
            <w:tcW w:type="dxa" w:w="3024"/>
            <w:shd w:val="clear" w:color="auto" w:fill="1F4E79"/>
          </w:tcPr>
          <w:p>
            <w:r>
              <w:rPr>
                <w:b/>
                <w:color w:val="FFFFFF"/>
                <w:sz w:val="18"/>
              </w:rPr>
              <w:t>Baidu Position</w:t>
            </w:r>
          </w:p>
        </w:tc>
        <w:tc>
          <w:tcPr>
            <w:tcW w:type="dxa" w:w="3024"/>
            <w:shd w:val="clear" w:color="auto" w:fill="1F4E79"/>
          </w:tcPr>
          <w:p>
            <w:r>
              <w:rPr>
                <w:b/>
                <w:color w:val="FFFFFF"/>
                <w:sz w:val="18"/>
              </w:rPr>
              <w:t>Key Threats</w:t>
            </w:r>
          </w:p>
        </w:tc>
      </w:tr>
      <w:tr>
        <w:tc>
          <w:tcPr>
            <w:tcW w:type="dxa" w:w="3024"/>
            <w:shd w:val="clear" w:color="auto" w:fill="EBF3FB"/>
          </w:tcPr>
          <w:p>
            <w:r>
              <w:rPr>
                <w:sz w:val="18"/>
              </w:rPr>
              <w:t>China Search (overall)</w:t>
            </w:r>
          </w:p>
        </w:tc>
        <w:tc>
          <w:tcPr>
            <w:tcW w:type="dxa" w:w="3024"/>
            <w:shd w:val="clear" w:color="auto" w:fill="EBF3FB"/>
          </w:tcPr>
          <w:p>
            <w:r>
              <w:rPr>
                <w:sz w:val="18"/>
              </w:rPr>
              <w:t>56.2%</w:t>
            </w:r>
          </w:p>
        </w:tc>
        <w:tc>
          <w:tcPr>
            <w:tcW w:type="dxa" w:w="3024"/>
            <w:shd w:val="clear" w:color="auto" w:fill="EBF3FB"/>
          </w:tcPr>
          <w:p>
            <w:r>
              <w:rPr>
                <w:sz w:val="18"/>
              </w:rPr>
              <w:t>Bing (24%), ByteDance AI search</w:t>
            </w:r>
          </w:p>
        </w:tc>
      </w:tr>
      <w:tr>
        <w:tc>
          <w:tcPr>
            <w:tcW w:type="dxa" w:w="3024"/>
            <w:shd w:val="clear" w:color="auto" w:fill="FFFFFF"/>
          </w:tcPr>
          <w:p>
            <w:r>
              <w:rPr>
                <w:sz w:val="18"/>
              </w:rPr>
              <w:t>China Search (mobile)</w:t>
            </w:r>
          </w:p>
        </w:tc>
        <w:tc>
          <w:tcPr>
            <w:tcW w:type="dxa" w:w="3024"/>
            <w:shd w:val="clear" w:color="auto" w:fill="FFFFFF"/>
          </w:tcPr>
          <w:p>
            <w:r>
              <w:rPr>
                <w:sz w:val="18"/>
              </w:rPr>
              <w:t>71.9%</w:t>
            </w:r>
          </w:p>
        </w:tc>
        <w:tc>
          <w:tcPr>
            <w:tcW w:type="dxa" w:w="3024"/>
            <w:shd w:val="clear" w:color="auto" w:fill="FFFFFF"/>
          </w:tcPr>
          <w:p>
            <w:r>
              <w:rPr>
                <w:sz w:val="18"/>
              </w:rPr>
              <w:t>ByteDance Douyin time-on-device</w:t>
            </w:r>
          </w:p>
        </w:tc>
      </w:tr>
      <w:tr>
        <w:tc>
          <w:tcPr>
            <w:tcW w:type="dxa" w:w="3024"/>
            <w:shd w:val="clear" w:color="auto" w:fill="EBF3FB"/>
          </w:tcPr>
          <w:p>
            <w:r>
              <w:rPr>
                <w:sz w:val="18"/>
              </w:rPr>
              <w:t>AI Cloud (token processing, IDC H1 2025)</w:t>
            </w:r>
          </w:p>
        </w:tc>
        <w:tc>
          <w:tcPr>
            <w:tcW w:type="dxa" w:w="3024"/>
            <w:shd w:val="clear" w:color="auto" w:fill="EBF3FB"/>
          </w:tcPr>
          <w:p>
            <w:r>
              <w:rPr>
                <w:sz w:val="18"/>
              </w:rPr>
              <w:t>17% (#3)</w:t>
            </w:r>
          </w:p>
        </w:tc>
        <w:tc>
          <w:tcPr>
            <w:tcW w:type="dxa" w:w="3024"/>
            <w:shd w:val="clear" w:color="auto" w:fill="EBF3FB"/>
          </w:tcPr>
          <w:p>
            <w:r>
              <w:rPr>
                <w:sz w:val="18"/>
              </w:rPr>
              <w:t>ByteDance Volcano 49%, Alibaba 27%</w:t>
            </w:r>
          </w:p>
        </w:tc>
      </w:tr>
      <w:tr>
        <w:tc>
          <w:tcPr>
            <w:tcW w:type="dxa" w:w="3024"/>
            <w:shd w:val="clear" w:color="auto" w:fill="FFFFFF"/>
          </w:tcPr>
          <w:p>
            <w:r>
              <w:rPr>
                <w:sz w:val="18"/>
              </w:rPr>
              <w:t>AI Cloud (overall market)</w:t>
            </w:r>
          </w:p>
        </w:tc>
        <w:tc>
          <w:tcPr>
            <w:tcW w:type="dxa" w:w="3024"/>
            <w:shd w:val="clear" w:color="auto" w:fill="FFFFFF"/>
          </w:tcPr>
          <w:p>
            <w:r>
              <w:rPr>
                <w:sz w:val="18"/>
              </w:rPr>
              <w:t>6.1% (#5)</w:t>
            </w:r>
          </w:p>
        </w:tc>
        <w:tc>
          <w:tcPr>
            <w:tcW w:type="dxa" w:w="3024"/>
            <w:shd w:val="clear" w:color="auto" w:fill="FFFFFF"/>
          </w:tcPr>
          <w:p>
            <w:r>
              <w:rPr>
                <w:sz w:val="18"/>
              </w:rPr>
              <w:t>Alibaba 35.8%, ByteDance 14.8%, Huawei 13.1%</w:t>
            </w:r>
          </w:p>
        </w:tc>
      </w:tr>
      <w:tr>
        <w:tc>
          <w:tcPr>
            <w:tcW w:type="dxa" w:w="3024"/>
            <w:shd w:val="clear" w:color="auto" w:fill="EBF3FB"/>
          </w:tcPr>
          <w:p>
            <w:r>
              <w:rPr>
                <w:sz w:val="18"/>
              </w:rPr>
              <w:t>Foundation Models</w:t>
            </w:r>
          </w:p>
        </w:tc>
        <w:tc>
          <w:tcPr>
            <w:tcW w:type="dxa" w:w="3024"/>
            <w:shd w:val="clear" w:color="auto" w:fill="EBF3FB"/>
          </w:tcPr>
          <w:p>
            <w:r>
              <w:rPr>
                <w:sz w:val="18"/>
              </w:rPr>
              <w:t>ERNIE 4.5/5.0 — top-tier Chinese LLM</w:t>
            </w:r>
          </w:p>
        </w:tc>
        <w:tc>
          <w:tcPr>
            <w:tcW w:type="dxa" w:w="3024"/>
            <w:shd w:val="clear" w:color="auto" w:fill="EBF3FB"/>
          </w:tcPr>
          <w:p>
            <w:r>
              <w:rPr>
                <w:sz w:val="18"/>
              </w:rPr>
              <w:t>Alibaba Qwen, DeepSeek, Zhipu</w:t>
            </w:r>
          </w:p>
        </w:tc>
      </w:tr>
      <w:tr>
        <w:tc>
          <w:tcPr>
            <w:tcW w:type="dxa" w:w="3024"/>
            <w:shd w:val="clear" w:color="auto" w:fill="FFFFFF"/>
          </w:tcPr>
          <w:p>
            <w:r>
              <w:rPr>
                <w:sz w:val="18"/>
              </w:rPr>
              <w:t>Autonomous Driving / Robotaxi</w:t>
            </w:r>
          </w:p>
        </w:tc>
        <w:tc>
          <w:tcPr>
            <w:tcW w:type="dxa" w:w="3024"/>
            <w:shd w:val="clear" w:color="auto" w:fill="FFFFFF"/>
          </w:tcPr>
          <w:p>
            <w:r>
              <w:rPr>
                <w:sz w:val="18"/>
              </w:rPr>
              <w:t>#1 globally by cumulative autonomous miles</w:t>
            </w:r>
          </w:p>
        </w:tc>
        <w:tc>
          <w:tcPr>
            <w:tcW w:type="dxa" w:w="3024"/>
            <w:shd w:val="clear" w:color="auto" w:fill="FFFFFF"/>
          </w:tcPr>
          <w:p>
            <w:r>
              <w:rPr>
                <w:sz w:val="18"/>
              </w:rPr>
              <w:t>Waymo (US), Pony.ai</w:t>
            </w:r>
          </w:p>
        </w:tc>
      </w:tr>
    </w:tbl>
    <w:p/>
    <w:p>
      <w:pPr>
        <w:pStyle w:val="Heading2"/>
        <w:jc w:val="left"/>
      </w:pPr>
      <w:r>
        <w:rPr>
          <w:color w:val="1F4E79"/>
        </w:rPr>
        <w:t>Bull / Bear Cases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Pr>
                <w:b/>
                <w:color w:val="FFFFFF"/>
                <w:sz w:val="18"/>
              </w:rPr>
              <w:t>Case</w:t>
            </w:r>
          </w:p>
        </w:tc>
        <w:tc>
          <w:tcPr>
            <w:tcW w:type="dxa" w:w="3024"/>
            <w:shd w:val="clear" w:color="auto" w:fill="1F4E79"/>
          </w:tcPr>
          <w:p>
            <w:r>
              <w:rPr>
                <w:b/>
                <w:color w:val="FFFFFF"/>
                <w:sz w:val="18"/>
              </w:rPr>
              <w:t>Prob.</w:t>
            </w:r>
          </w:p>
        </w:tc>
        <w:tc>
          <w:tcPr>
            <w:tcW w:type="dxa" w:w="3024"/>
            <w:shd w:val="clear" w:color="auto" w:fill="1F4E79"/>
          </w:tcPr>
          <w:p>
            <w:r>
              <w:rPr>
                <w:b/>
                <w:color w:val="FFFFFF"/>
                <w:sz w:val="18"/>
              </w:rPr>
              <w:t>Key Drivers</w:t>
            </w:r>
          </w:p>
        </w:tc>
      </w:tr>
      <w:tr>
        <w:tc>
          <w:tcPr>
            <w:tcW w:type="dxa" w:w="3024"/>
            <w:shd w:val="clear" w:color="auto" w:fill="EBF3FB"/>
          </w:tcPr>
          <w:p>
            <w:r>
              <w:rPr>
                <w:sz w:val="18"/>
              </w:rPr>
              <w:t>Bull (35%)</w:t>
            </w:r>
          </w:p>
        </w:tc>
        <w:tc>
          <w:tcPr>
            <w:tcW w:type="dxa" w:w="3024"/>
            <w:shd w:val="clear" w:color="auto" w:fill="EBF3FB"/>
          </w:tcPr>
          <w:p>
            <w:r>
              <w:rPr>
                <w:sz w:val="18"/>
              </w:rPr>
              <w:t>35%</w:t>
            </w:r>
          </w:p>
        </w:tc>
        <w:tc>
          <w:tcPr>
            <w:tcW w:type="dxa" w:w="3024"/>
            <w:shd w:val="clear" w:color="auto" w:fill="EBF3FB"/>
          </w:tcPr>
          <w:p>
            <w:r>
              <w:rPr>
                <w:sz w:val="18"/>
              </w:rPr>
              <w:t>ERNIE monetization accelerates; Apollo Go spin-off; Kunlunxin chip value unlock; China-US tensions ease → multiple expansion</w:t>
            </w:r>
          </w:p>
        </w:tc>
      </w:tr>
      <w:tr>
        <w:tc>
          <w:tcPr>
            <w:tcW w:type="dxa" w:w="3024"/>
            <w:shd w:val="clear" w:color="auto" w:fill="FFFFFF"/>
          </w:tcPr>
          <w:p>
            <w:r>
              <w:rPr>
                <w:sz w:val="18"/>
              </w:rPr>
              <w:t>Base (40%)</w:t>
            </w:r>
          </w:p>
        </w:tc>
        <w:tc>
          <w:tcPr>
            <w:tcW w:type="dxa" w:w="3024"/>
            <w:shd w:val="clear" w:color="auto" w:fill="FFFFFF"/>
          </w:tcPr>
          <w:p>
            <w:r>
              <w:rPr>
                <w:sz w:val="18"/>
              </w:rPr>
              <w:t>40%</w:t>
            </w:r>
          </w:p>
        </w:tc>
        <w:tc>
          <w:tcPr>
            <w:tcW w:type="dxa" w:w="3024"/>
            <w:shd w:val="clear" w:color="auto" w:fill="FFFFFF"/>
          </w:tcPr>
          <w:p>
            <w:r>
              <w:rPr>
                <w:sz w:val="18"/>
              </w:rPr>
              <w:t>Advertising stabilizes at slight decline; AI cloud grows 25–35% annually; FCF recovers to CNY 15–18B by FY2026–27</w:t>
            </w:r>
          </w:p>
        </w:tc>
      </w:tr>
      <w:tr>
        <w:tc>
          <w:tcPr>
            <w:tcW w:type="dxa" w:w="3024"/>
            <w:shd w:val="clear" w:color="auto" w:fill="EBF3FB"/>
          </w:tcPr>
          <w:p>
            <w:r>
              <w:rPr>
                <w:sz w:val="18"/>
              </w:rPr>
              <w:t>Bear (25%)</w:t>
            </w:r>
          </w:p>
        </w:tc>
        <w:tc>
          <w:tcPr>
            <w:tcW w:type="dxa" w:w="3024"/>
            <w:shd w:val="clear" w:color="auto" w:fill="EBF3FB"/>
          </w:tcPr>
          <w:p>
            <w:r>
              <w:rPr>
                <w:sz w:val="18"/>
              </w:rPr>
              <w:t>25%</w:t>
            </w:r>
          </w:p>
        </w:tc>
        <w:tc>
          <w:tcPr>
            <w:tcW w:type="dxa" w:w="3024"/>
            <w:shd w:val="clear" w:color="auto" w:fill="EBF3FB"/>
          </w:tcPr>
          <w:p>
            <w:r>
              <w:rPr>
                <w:sz w:val="18"/>
              </w:rPr>
              <w:t>Advertising -5% to -10% per year; AI capex extends FCF negativity; ByteDance displaces ERNIE; HFCAA delisting risk resurfaces</w:t>
            </w:r>
          </w:p>
        </w:tc>
      </w:tr>
    </w:tbl>
    <w:p>
      <w:r>
        <w:br w:type="page"/>
      </w:r>
    </w:p>
    <w:p>
      <w:pPr>
        <w:pStyle w:val="Heading1"/>
        <w:jc w:val="left"/>
      </w:pPr>
      <w:r>
        <w:rPr>
          <w:color w:val="1F4E79"/>
        </w:rPr>
        <w:t>PART II — VALUE INVESTING EVALUATION</w:t>
      </w:r>
    </w:p>
    <w:p>
      <w:pPr>
        <w:pStyle w:val="Heading2"/>
        <w:jc w:val="left"/>
      </w:pPr>
      <w:r>
        <w:rPr>
          <w:color w:val="1F4E79"/>
        </w:rPr>
        <w:t>Assumptions &amp; Estimates Disclosure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Category</w:t>
            </w:r>
          </w:p>
        </w:tc>
        <w:tc>
          <w:tcPr>
            <w:tcW w:type="dxa" w:w="2268"/>
            <w:shd w:val="clear" w:color="auto" w:fill="1F4E79"/>
          </w:tcPr>
          <w:p>
            <w:r>
              <w:rPr>
                <w:b/>
                <w:color w:val="FFFFFF"/>
                <w:sz w:val="18"/>
              </w:rPr>
              <w:t>Parameter</w:t>
            </w:r>
          </w:p>
        </w:tc>
        <w:tc>
          <w:tcPr>
            <w:tcW w:type="dxa" w:w="2268"/>
            <w:shd w:val="clear" w:color="auto" w:fill="1F4E79"/>
          </w:tcPr>
          <w:p>
            <w:r>
              <w:rPr>
                <w:b/>
                <w:color w:val="FFFFFF"/>
                <w:sz w:val="18"/>
              </w:rPr>
              <w:t>Value</w:t>
            </w:r>
          </w:p>
        </w:tc>
        <w:tc>
          <w:tcPr>
            <w:tcW w:type="dxa" w:w="2268"/>
            <w:shd w:val="clear" w:color="auto" w:fill="1F4E79"/>
          </w:tcPr>
          <w:p>
            <w:r>
              <w:rPr>
                <w:b/>
                <w:color w:val="FFFFFF"/>
                <w:sz w:val="18"/>
              </w:rPr>
              <w:t>Justification</w:t>
            </w:r>
          </w:p>
        </w:tc>
      </w:tr>
      <w:tr>
        <w:tc>
          <w:tcPr>
            <w:tcW w:type="dxa" w:w="2268"/>
            <w:shd w:val="clear" w:color="auto" w:fill="EBF3FB"/>
          </w:tcPr>
          <w:p>
            <w:r>
              <w:rPr>
                <w:sz w:val="18"/>
              </w:rPr>
              <w:t>A. Hard Data (FY2025 Report)</w:t>
            </w:r>
          </w:p>
        </w:tc>
        <w:tc>
          <w:tcPr>
            <w:tcW w:type="dxa" w:w="2268"/>
            <w:shd w:val="clear" w:color="auto" w:fill="EBF3FB"/>
          </w:tcPr>
          <w:p>
            <w:r>
              <w:rPr>
                <w:sz w:val="18"/>
              </w:rPr>
              <w:t>Revenue</w:t>
            </w:r>
          </w:p>
        </w:tc>
        <w:tc>
          <w:tcPr>
            <w:tcW w:type="dxa" w:w="2268"/>
            <w:shd w:val="clear" w:color="auto" w:fill="EBF3FB"/>
          </w:tcPr>
          <w:p>
            <w:r>
              <w:rPr>
                <w:sz w:val="18"/>
              </w:rPr>
              <w:t>CNY 129.1B</w:t>
            </w:r>
          </w:p>
        </w:tc>
        <w:tc>
          <w:tcPr>
            <w:tcW w:type="dxa" w:w="2268"/>
            <w:shd w:val="clear" w:color="auto" w:fill="EBF3FB"/>
          </w:tcPr>
          <w:p>
            <w:r>
              <w:rPr>
                <w:sz w:val="18"/>
              </w:rPr>
              <w:t>StockAnalysis / FY2025 Annual</w:t>
            </w:r>
          </w:p>
        </w:tc>
      </w:tr>
      <w:tr>
        <w:tc>
          <w:tcPr>
            <w:tcW w:type="dxa" w:w="2268"/>
            <w:shd w:val="clear" w:color="auto" w:fill="FFFFFF"/>
          </w:tcPr>
          <w:p>
            <w:r>
              <w:rPr>
                <w:sz w:val="18"/>
              </w:rPr>
              <w:t>A. Hard Data (FY2025 Report)</w:t>
            </w:r>
          </w:p>
        </w:tc>
        <w:tc>
          <w:tcPr>
            <w:tcW w:type="dxa" w:w="2268"/>
            <w:shd w:val="clear" w:color="auto" w:fill="FFFFFF"/>
          </w:tcPr>
          <w:p>
            <w:r>
              <w:rPr>
                <w:sz w:val="18"/>
              </w:rPr>
              <w:t>OCF</w:t>
            </w:r>
          </w:p>
        </w:tc>
        <w:tc>
          <w:tcPr>
            <w:tcW w:type="dxa" w:w="2268"/>
            <w:shd w:val="clear" w:color="auto" w:fill="FFFFFF"/>
          </w:tcPr>
          <w:p>
            <w:r>
              <w:rPr>
                <w:sz w:val="18"/>
              </w:rPr>
              <w:t>CNY -3.0B</w:t>
            </w:r>
          </w:p>
        </w:tc>
        <w:tc>
          <w:tcPr>
            <w:tcW w:type="dxa" w:w="2268"/>
            <w:shd w:val="clear" w:color="auto" w:fill="FFFFFF"/>
          </w:tcPr>
          <w:p>
            <w:r>
              <w:rPr>
                <w:sz w:val="18"/>
              </w:rPr>
              <w:t>Cash Flow Statement</w:t>
            </w:r>
          </w:p>
        </w:tc>
      </w:tr>
      <w:tr>
        <w:tc>
          <w:tcPr>
            <w:tcW w:type="dxa" w:w="2268"/>
            <w:shd w:val="clear" w:color="auto" w:fill="EBF3FB"/>
          </w:tcPr>
          <w:p>
            <w:r>
              <w:rPr>
                <w:sz w:val="18"/>
              </w:rPr>
              <w:t>A. Hard Data (FY2025 Report)</w:t>
            </w:r>
          </w:p>
        </w:tc>
        <w:tc>
          <w:tcPr>
            <w:tcW w:type="dxa" w:w="2268"/>
            <w:shd w:val="clear" w:color="auto" w:fill="EBF3FB"/>
          </w:tcPr>
          <w:p>
            <w:r>
              <w:rPr>
                <w:sz w:val="18"/>
              </w:rPr>
              <w:t>CapEx</w:t>
            </w:r>
          </w:p>
        </w:tc>
        <w:tc>
          <w:tcPr>
            <w:tcW w:type="dxa" w:w="2268"/>
            <w:shd w:val="clear" w:color="auto" w:fill="EBF3FB"/>
          </w:tcPr>
          <w:p>
            <w:r>
              <w:rPr>
                <w:sz w:val="18"/>
              </w:rPr>
              <w:t>CNY -12.1B</w:t>
            </w:r>
          </w:p>
        </w:tc>
        <w:tc>
          <w:tcPr>
            <w:tcW w:type="dxa" w:w="2268"/>
            <w:shd w:val="clear" w:color="auto" w:fill="EBF3FB"/>
          </w:tcPr>
          <w:p>
            <w:r>
              <w:rPr>
                <w:sz w:val="18"/>
              </w:rPr>
              <w:t>Cash Flow Statement</w:t>
            </w:r>
          </w:p>
        </w:tc>
      </w:tr>
      <w:tr>
        <w:tc>
          <w:tcPr>
            <w:tcW w:type="dxa" w:w="2268"/>
            <w:shd w:val="clear" w:color="auto" w:fill="FFFFFF"/>
          </w:tcPr>
          <w:p>
            <w:r>
              <w:rPr>
                <w:sz w:val="18"/>
              </w:rPr>
              <w:t>A. Hard Data (FY2025 Report)</w:t>
            </w:r>
          </w:p>
        </w:tc>
        <w:tc>
          <w:tcPr>
            <w:tcW w:type="dxa" w:w="2268"/>
            <w:shd w:val="clear" w:color="auto" w:fill="FFFFFF"/>
          </w:tcPr>
          <w:p>
            <w:r>
              <w:rPr>
                <w:sz w:val="18"/>
              </w:rPr>
              <w:t>FCF (FY2025)</w:t>
            </w:r>
          </w:p>
        </w:tc>
        <w:tc>
          <w:tcPr>
            <w:tcW w:type="dxa" w:w="2268"/>
            <w:shd w:val="clear" w:color="auto" w:fill="FFFFFF"/>
          </w:tcPr>
          <w:p>
            <w:r>
              <w:rPr>
                <w:sz w:val="18"/>
              </w:rPr>
              <w:t>CNY -15.1B</w:t>
            </w:r>
          </w:p>
        </w:tc>
        <w:tc>
          <w:tcPr>
            <w:tcW w:type="dxa" w:w="2268"/>
            <w:shd w:val="clear" w:color="auto" w:fill="FFFFFF"/>
          </w:tcPr>
          <w:p>
            <w:r>
              <w:rPr>
                <w:sz w:val="18"/>
              </w:rPr>
              <w:t>Calculated: OCF – CapEx</w:t>
            </w:r>
          </w:p>
        </w:tc>
      </w:tr>
      <w:tr>
        <w:tc>
          <w:tcPr>
            <w:tcW w:type="dxa" w:w="2268"/>
            <w:shd w:val="clear" w:color="auto" w:fill="EBF3FB"/>
          </w:tcPr>
          <w:p>
            <w:r>
              <w:rPr>
                <w:sz w:val="18"/>
              </w:rPr>
              <w:t>A. Hard Data (FY2024 Report)</w:t>
            </w:r>
          </w:p>
        </w:tc>
        <w:tc>
          <w:tcPr>
            <w:tcW w:type="dxa" w:w="2268"/>
            <w:shd w:val="clear" w:color="auto" w:fill="EBF3FB"/>
          </w:tcPr>
          <w:p>
            <w:r>
              <w:rPr>
                <w:sz w:val="18"/>
              </w:rPr>
              <w:t>Normalized FCF</w:t>
            </w:r>
          </w:p>
        </w:tc>
        <w:tc>
          <w:tcPr>
            <w:tcW w:type="dxa" w:w="2268"/>
            <w:shd w:val="clear" w:color="auto" w:fill="EBF3FB"/>
          </w:tcPr>
          <w:p>
            <w:r>
              <w:rPr>
                <w:sz w:val="18"/>
              </w:rPr>
              <w:t>CNY 13.1B</w:t>
            </w:r>
          </w:p>
        </w:tc>
        <w:tc>
          <w:tcPr>
            <w:tcW w:type="dxa" w:w="2268"/>
            <w:shd w:val="clear" w:color="auto" w:fill="EBF3FB"/>
          </w:tcPr>
          <w:p>
            <w:r>
              <w:rPr>
                <w:sz w:val="18"/>
              </w:rPr>
              <w:t>FY2024 clean year — used as DCF base</w:t>
            </w:r>
          </w:p>
        </w:tc>
      </w:tr>
      <w:tr>
        <w:tc>
          <w:tcPr>
            <w:tcW w:type="dxa" w:w="2268"/>
            <w:shd w:val="clear" w:color="auto" w:fill="FFFFFF"/>
          </w:tcPr>
          <w:p>
            <w:r>
              <w:rPr>
                <w:sz w:val="18"/>
              </w:rPr>
              <w:t>A. Hard Data</w:t>
            </w:r>
          </w:p>
        </w:tc>
        <w:tc>
          <w:tcPr>
            <w:tcW w:type="dxa" w:w="2268"/>
            <w:shd w:val="clear" w:color="auto" w:fill="FFFFFF"/>
          </w:tcPr>
          <w:p>
            <w:r>
              <w:rPr>
                <w:sz w:val="18"/>
              </w:rPr>
              <w:t>Net Cash</w:t>
            </w:r>
          </w:p>
        </w:tc>
        <w:tc>
          <w:tcPr>
            <w:tcW w:type="dxa" w:w="2268"/>
            <w:shd w:val="clear" w:color="auto" w:fill="FFFFFF"/>
          </w:tcPr>
          <w:p>
            <w:r>
              <w:rPr>
                <w:sz w:val="18"/>
              </w:rPr>
              <w:t>CNY ~35.1B</w:t>
            </w:r>
          </w:p>
        </w:tc>
        <w:tc>
          <w:tcPr>
            <w:tcW w:type="dxa" w:w="2268"/>
            <w:shd w:val="clear" w:color="auto" w:fill="FFFFFF"/>
          </w:tcPr>
          <w:p>
            <w:r>
              <w:rPr>
                <w:sz w:val="18"/>
              </w:rPr>
              <w:t>Balance Sheet</w:t>
            </w:r>
          </w:p>
        </w:tc>
      </w:tr>
      <w:tr>
        <w:tc>
          <w:tcPr>
            <w:tcW w:type="dxa" w:w="2268"/>
            <w:shd w:val="clear" w:color="auto" w:fill="EBF3FB"/>
          </w:tcPr>
          <w:p>
            <w:r>
              <w:rPr>
                <w:sz w:val="18"/>
              </w:rPr>
              <w:t>A. Hard Data</w:t>
            </w:r>
          </w:p>
        </w:tc>
        <w:tc>
          <w:tcPr>
            <w:tcW w:type="dxa" w:w="2268"/>
            <w:shd w:val="clear" w:color="auto" w:fill="EBF3FB"/>
          </w:tcPr>
          <w:p>
            <w:r>
              <w:rPr>
                <w:sz w:val="18"/>
              </w:rPr>
              <w:t>Shares (ADS)</w:t>
            </w:r>
          </w:p>
        </w:tc>
        <w:tc>
          <w:tcPr>
            <w:tcW w:type="dxa" w:w="2268"/>
            <w:shd w:val="clear" w:color="auto" w:fill="EBF3FB"/>
          </w:tcPr>
          <w:p>
            <w:r>
              <w:rPr>
                <w:sz w:val="18"/>
              </w:rPr>
              <w:t>340.25M</w:t>
            </w:r>
          </w:p>
        </w:tc>
        <w:tc>
          <w:tcPr>
            <w:tcW w:type="dxa" w:w="2268"/>
            <w:shd w:val="clear" w:color="auto" w:fill="EBF3FB"/>
          </w:tcPr>
          <w:p>
            <w:r>
              <w:rPr>
                <w:sz w:val="18"/>
              </w:rPr>
              <w:t>Market data</w:t>
            </w:r>
          </w:p>
        </w:tc>
      </w:tr>
      <w:tr>
        <w:tc>
          <w:tcPr>
            <w:tcW w:type="dxa" w:w="2268"/>
            <w:shd w:val="clear" w:color="auto" w:fill="FFFFFF"/>
          </w:tcPr>
          <w:p>
            <w:r>
              <w:rPr>
                <w:sz w:val="18"/>
              </w:rPr>
              <w:t>B. Market Data</w:t>
            </w:r>
          </w:p>
        </w:tc>
        <w:tc>
          <w:tcPr>
            <w:tcW w:type="dxa" w:w="2268"/>
            <w:shd w:val="clear" w:color="auto" w:fill="FFFFFF"/>
          </w:tcPr>
          <w:p>
            <w:r>
              <w:rPr>
                <w:sz w:val="18"/>
              </w:rPr>
              <w:t>Current Price</w:t>
            </w:r>
          </w:p>
        </w:tc>
        <w:tc>
          <w:tcPr>
            <w:tcW w:type="dxa" w:w="2268"/>
            <w:shd w:val="clear" w:color="auto" w:fill="FFFFFF"/>
          </w:tcPr>
          <w:p>
            <w:r>
              <w:rPr>
                <w:sz w:val="18"/>
              </w:rPr>
              <w:t>$111/ADS</w:t>
            </w:r>
          </w:p>
        </w:tc>
        <w:tc>
          <w:tcPr>
            <w:tcW w:type="dxa" w:w="2268"/>
            <w:shd w:val="clear" w:color="auto" w:fill="FFFFFF"/>
          </w:tcPr>
          <w:p>
            <w:r>
              <w:rPr>
                <w:sz w:val="18"/>
              </w:rPr>
              <w:t>Apr 2, 2026</w:t>
            </w:r>
          </w:p>
        </w:tc>
      </w:tr>
      <w:tr>
        <w:tc>
          <w:tcPr>
            <w:tcW w:type="dxa" w:w="2268"/>
            <w:shd w:val="clear" w:color="auto" w:fill="EBF3FB"/>
          </w:tcPr>
          <w:p>
            <w:r>
              <w:rPr>
                <w:sz w:val="18"/>
              </w:rPr>
              <w:t>B. Market Data</w:t>
            </w:r>
          </w:p>
        </w:tc>
        <w:tc>
          <w:tcPr>
            <w:tcW w:type="dxa" w:w="2268"/>
            <w:shd w:val="clear" w:color="auto" w:fill="EBF3FB"/>
          </w:tcPr>
          <w:p>
            <w:r>
              <w:rPr>
                <w:sz w:val="18"/>
              </w:rPr>
              <w:t>Market Cap</w:t>
            </w:r>
          </w:p>
        </w:tc>
        <w:tc>
          <w:tcPr>
            <w:tcW w:type="dxa" w:w="2268"/>
            <w:shd w:val="clear" w:color="auto" w:fill="EBF3FB"/>
          </w:tcPr>
          <w:p>
            <w:r>
              <w:rPr>
                <w:sz w:val="18"/>
              </w:rPr>
              <w:t>~$38.1B</w:t>
            </w:r>
          </w:p>
        </w:tc>
        <w:tc>
          <w:tcPr>
            <w:tcW w:type="dxa" w:w="2268"/>
            <w:shd w:val="clear" w:color="auto" w:fill="EBF3FB"/>
          </w:tcPr>
          <w:p>
            <w:r>
              <w:rPr>
                <w:sz w:val="18"/>
              </w:rPr>
              <w:t>Calculated</w:t>
            </w:r>
          </w:p>
        </w:tc>
      </w:tr>
      <w:tr>
        <w:tc>
          <w:tcPr>
            <w:tcW w:type="dxa" w:w="2268"/>
            <w:shd w:val="clear" w:color="auto" w:fill="FFFFFF"/>
          </w:tcPr>
          <w:p>
            <w:r>
              <w:rPr>
                <w:sz w:val="18"/>
              </w:rPr>
              <w:t>B. Market Data</w:t>
            </w:r>
          </w:p>
        </w:tc>
        <w:tc>
          <w:tcPr>
            <w:tcW w:type="dxa" w:w="2268"/>
            <w:shd w:val="clear" w:color="auto" w:fill="FFFFFF"/>
          </w:tcPr>
          <w:p>
            <w:r>
              <w:rPr>
                <w:sz w:val="18"/>
              </w:rPr>
              <w:t>CNY/USD rate</w:t>
            </w:r>
          </w:p>
        </w:tc>
        <w:tc>
          <w:tcPr>
            <w:tcW w:type="dxa" w:w="2268"/>
            <w:shd w:val="clear" w:color="auto" w:fill="FFFFFF"/>
          </w:tcPr>
          <w:p>
            <w:r>
              <w:rPr>
                <w:sz w:val="18"/>
              </w:rPr>
              <w:t>~7.10</w:t>
            </w:r>
          </w:p>
        </w:tc>
        <w:tc>
          <w:tcPr>
            <w:tcW w:type="dxa" w:w="2268"/>
            <w:shd w:val="clear" w:color="auto" w:fill="FFFFFF"/>
          </w:tcPr>
          <w:p>
            <w:r>
              <w:rPr>
                <w:sz w:val="18"/>
              </w:rPr>
              <w:t>2026 spot</w:t>
            </w:r>
          </w:p>
        </w:tc>
      </w:tr>
      <w:tr>
        <w:tc>
          <w:tcPr>
            <w:tcW w:type="dxa" w:w="2268"/>
            <w:shd w:val="clear" w:color="auto" w:fill="EBF3FB"/>
          </w:tcPr>
          <w:p>
            <w:r>
              <w:rPr>
                <w:sz w:val="18"/>
              </w:rPr>
              <w:t>C. Subjective — WACC</w:t>
            </w:r>
          </w:p>
        </w:tc>
        <w:tc>
          <w:tcPr>
            <w:tcW w:type="dxa" w:w="2268"/>
            <w:shd w:val="clear" w:color="auto" w:fill="EBF3FB"/>
          </w:tcPr>
          <w:p>
            <w:r>
              <w:rPr>
                <w:sz w:val="18"/>
              </w:rPr>
              <w:t>Bear</w:t>
            </w:r>
          </w:p>
        </w:tc>
        <w:tc>
          <w:tcPr>
            <w:tcW w:type="dxa" w:w="2268"/>
            <w:shd w:val="clear" w:color="auto" w:fill="EBF3FB"/>
          </w:tcPr>
          <w:p>
            <w:r>
              <w:rPr>
                <w:sz w:val="18"/>
              </w:rPr>
              <w:t>13%</w:t>
            </w:r>
          </w:p>
        </w:tc>
        <w:tc>
          <w:tcPr>
            <w:tcW w:type="dxa" w:w="2268"/>
            <w:shd w:val="clear" w:color="auto" w:fill="EBF3FB"/>
          </w:tcPr>
          <w:p>
            <w:r>
              <w:rPr>
                <w:sz w:val="18"/>
              </w:rPr>
              <w:t>4% risk-free + 5% ERP + 4% China/VIE/ADR risk</w:t>
            </w:r>
          </w:p>
        </w:tc>
      </w:tr>
      <w:tr>
        <w:tc>
          <w:tcPr>
            <w:tcW w:type="dxa" w:w="2268"/>
            <w:shd w:val="clear" w:color="auto" w:fill="FFFFFF"/>
          </w:tcPr>
          <w:p>
            <w:r>
              <w:rPr>
                <w:sz w:val="18"/>
              </w:rPr>
              <w:t>C. Subjective — WACC</w:t>
            </w:r>
          </w:p>
        </w:tc>
        <w:tc>
          <w:tcPr>
            <w:tcW w:type="dxa" w:w="2268"/>
            <w:shd w:val="clear" w:color="auto" w:fill="FFFFFF"/>
          </w:tcPr>
          <w:p>
            <w:r>
              <w:rPr>
                <w:sz w:val="18"/>
              </w:rPr>
              <w:t>Base</w:t>
            </w:r>
          </w:p>
        </w:tc>
        <w:tc>
          <w:tcPr>
            <w:tcW w:type="dxa" w:w="2268"/>
            <w:shd w:val="clear" w:color="auto" w:fill="FFFFFF"/>
          </w:tcPr>
          <w:p>
            <w:r>
              <w:rPr>
                <w:sz w:val="18"/>
              </w:rPr>
              <w:t>12%</w:t>
            </w:r>
          </w:p>
        </w:tc>
        <w:tc>
          <w:tcPr>
            <w:tcW w:type="dxa" w:w="2268"/>
            <w:shd w:val="clear" w:color="auto" w:fill="FFFFFF"/>
          </w:tcPr>
          <w:p>
            <w:r>
              <w:rPr>
                <w:sz w:val="18"/>
              </w:rPr>
              <w:t>Standard China internet per framework</w:t>
            </w:r>
          </w:p>
        </w:tc>
      </w:tr>
      <w:tr>
        <w:tc>
          <w:tcPr>
            <w:tcW w:type="dxa" w:w="2268"/>
            <w:shd w:val="clear" w:color="auto" w:fill="EBF3FB"/>
          </w:tcPr>
          <w:p>
            <w:r>
              <w:rPr>
                <w:sz w:val="18"/>
              </w:rPr>
              <w:t>C. Subjective — WACC</w:t>
            </w:r>
          </w:p>
        </w:tc>
        <w:tc>
          <w:tcPr>
            <w:tcW w:type="dxa" w:w="2268"/>
            <w:shd w:val="clear" w:color="auto" w:fill="EBF3FB"/>
          </w:tcPr>
          <w:p>
            <w:r>
              <w:rPr>
                <w:sz w:val="18"/>
              </w:rPr>
              <w:t>Bull</w:t>
            </w:r>
          </w:p>
        </w:tc>
        <w:tc>
          <w:tcPr>
            <w:tcW w:type="dxa" w:w="2268"/>
            <w:shd w:val="clear" w:color="auto" w:fill="EBF3FB"/>
          </w:tcPr>
          <w:p>
            <w:r>
              <w:rPr>
                <w:sz w:val="18"/>
              </w:rPr>
              <w:t>10%</w:t>
            </w:r>
          </w:p>
        </w:tc>
        <w:tc>
          <w:tcPr>
            <w:tcW w:type="dxa" w:w="2268"/>
            <w:shd w:val="clear" w:color="auto" w:fill="EBF3FB"/>
          </w:tcPr>
          <w:p>
            <w:r>
              <w:rPr>
                <w:sz w:val="18"/>
              </w:rPr>
              <w:t>If geopolitical risk recedes</w:t>
            </w:r>
          </w:p>
        </w:tc>
      </w:tr>
      <w:tr>
        <w:tc>
          <w:tcPr>
            <w:tcW w:type="dxa" w:w="2268"/>
            <w:shd w:val="clear" w:color="auto" w:fill="FFFFFF"/>
          </w:tcPr>
          <w:p>
            <w:r>
              <w:rPr>
                <w:sz w:val="18"/>
              </w:rPr>
              <w:t>C. Subjective — Growth Y1–5</w:t>
            </w:r>
          </w:p>
        </w:tc>
        <w:tc>
          <w:tcPr>
            <w:tcW w:type="dxa" w:w="2268"/>
            <w:shd w:val="clear" w:color="auto" w:fill="FFFFFF"/>
          </w:tcPr>
          <w:p>
            <w:r>
              <w:rPr>
                <w:sz w:val="18"/>
              </w:rPr>
              <w:t>Bear / Base / Bull</w:t>
            </w:r>
          </w:p>
        </w:tc>
        <w:tc>
          <w:tcPr>
            <w:tcW w:type="dxa" w:w="2268"/>
            <w:shd w:val="clear" w:color="auto" w:fill="FFFFFF"/>
          </w:tcPr>
          <w:p>
            <w:r>
              <w:rPr>
                <w:sz w:val="18"/>
              </w:rPr>
              <w:t>3% / 8% / 15%</w:t>
            </w:r>
          </w:p>
        </w:tc>
        <w:tc>
          <w:tcPr>
            <w:tcW w:type="dxa" w:w="2268"/>
            <w:shd w:val="clear" w:color="auto" w:fill="FFFFFF"/>
          </w:tcPr>
          <w:p>
            <w:r>
              <w:rPr>
                <w:sz w:val="18"/>
              </w:rPr>
              <w:t>AI cloud growth offset by ad decline</w:t>
            </w:r>
          </w:p>
        </w:tc>
      </w:tr>
      <w:tr>
        <w:tc>
          <w:tcPr>
            <w:tcW w:type="dxa" w:w="2268"/>
            <w:shd w:val="clear" w:color="auto" w:fill="EBF3FB"/>
          </w:tcPr>
          <w:p>
            <w:r>
              <w:rPr>
                <w:sz w:val="18"/>
              </w:rPr>
              <w:t>C. Subjective — Growth Y6–10</w:t>
            </w:r>
          </w:p>
        </w:tc>
        <w:tc>
          <w:tcPr>
            <w:tcW w:type="dxa" w:w="2268"/>
            <w:shd w:val="clear" w:color="auto" w:fill="EBF3FB"/>
          </w:tcPr>
          <w:p>
            <w:r>
              <w:rPr>
                <w:sz w:val="18"/>
              </w:rPr>
              <w:t>Bear / Base / Bull</w:t>
            </w:r>
          </w:p>
        </w:tc>
        <w:tc>
          <w:tcPr>
            <w:tcW w:type="dxa" w:w="2268"/>
            <w:shd w:val="clear" w:color="auto" w:fill="EBF3FB"/>
          </w:tcPr>
          <w:p>
            <w:r>
              <w:rPr>
                <w:sz w:val="18"/>
              </w:rPr>
              <w:t>2% / 7% / 10%</w:t>
            </w:r>
          </w:p>
        </w:tc>
        <w:tc>
          <w:tcPr>
            <w:tcW w:type="dxa" w:w="2268"/>
            <w:shd w:val="clear" w:color="auto" w:fill="EBF3FB"/>
          </w:tcPr>
          <w:p>
            <w:r>
              <w:rPr>
                <w:sz w:val="18"/>
              </w:rPr>
              <w:t>Maturing growth phase</w:t>
            </w:r>
          </w:p>
        </w:tc>
      </w:tr>
      <w:tr>
        <w:tc>
          <w:tcPr>
            <w:tcW w:type="dxa" w:w="2268"/>
            <w:shd w:val="clear" w:color="auto" w:fill="FFFFFF"/>
          </w:tcPr>
          <w:p>
            <w:r>
              <w:rPr>
                <w:sz w:val="18"/>
              </w:rPr>
              <w:t>C. Subjective — Terminal Growth</w:t>
            </w:r>
          </w:p>
        </w:tc>
        <w:tc>
          <w:tcPr>
            <w:tcW w:type="dxa" w:w="2268"/>
            <w:shd w:val="clear" w:color="auto" w:fill="FFFFFF"/>
          </w:tcPr>
          <w:p>
            <w:r>
              <w:rPr>
                <w:sz w:val="18"/>
              </w:rPr>
              <w:t>Bear / Base / Bull</w:t>
            </w:r>
          </w:p>
        </w:tc>
        <w:tc>
          <w:tcPr>
            <w:tcW w:type="dxa" w:w="2268"/>
            <w:shd w:val="clear" w:color="auto" w:fill="FFFFFF"/>
          </w:tcPr>
          <w:p>
            <w:r>
              <w:rPr>
                <w:sz w:val="18"/>
              </w:rPr>
              <w:t>2% / 3% / 3.5%</w:t>
            </w:r>
          </w:p>
        </w:tc>
        <w:tc>
          <w:tcPr>
            <w:tcW w:type="dxa" w:w="2268"/>
            <w:shd w:val="clear" w:color="auto" w:fill="FFFFFF"/>
          </w:tcPr>
          <w:p>
            <w:r>
              <w:rPr>
                <w:sz w:val="18"/>
              </w:rPr>
              <w:t>China long-run nominal GDP proxy</w:t>
            </w:r>
          </w:p>
        </w:tc>
      </w:tr>
      <w:tr>
        <w:tc>
          <w:tcPr>
            <w:tcW w:type="dxa" w:w="2268"/>
            <w:shd w:val="clear" w:color="auto" w:fill="EBF3FB"/>
          </w:tcPr>
          <w:p>
            <w:r>
              <w:rPr>
                <w:sz w:val="18"/>
              </w:rPr>
              <w:t>D. Normalization</w:t>
            </w:r>
          </w:p>
        </w:tc>
        <w:tc>
          <w:tcPr>
            <w:tcW w:type="dxa" w:w="2268"/>
            <w:shd w:val="clear" w:color="auto" w:fill="EBF3FB"/>
          </w:tcPr>
          <w:p>
            <w:r>
              <w:rPr>
                <w:sz w:val="18"/>
              </w:rPr>
              <w:t>FY2025 FCF adjusted?</w:t>
            </w:r>
          </w:p>
        </w:tc>
        <w:tc>
          <w:tcPr>
            <w:tcW w:type="dxa" w:w="2268"/>
            <w:shd w:val="clear" w:color="auto" w:fill="EBF3FB"/>
          </w:tcPr>
          <w:p>
            <w:r>
              <w:rPr>
                <w:sz w:val="18"/>
              </w:rPr>
              <w:t>YES</w:t>
            </w:r>
          </w:p>
        </w:tc>
        <w:tc>
          <w:tcPr>
            <w:tcW w:type="dxa" w:w="2268"/>
            <w:shd w:val="clear" w:color="auto" w:fill="EBF3FB"/>
          </w:tcPr>
          <w:p>
            <w:r>
              <w:rPr>
                <w:sz w:val="18"/>
              </w:rPr>
              <w:t>~CNY 33.8B fair-value losses + AI capex surge distort FY2025</w:t>
            </w:r>
          </w:p>
        </w:tc>
      </w:tr>
    </w:tbl>
    <w:p>
      <w:r>
        <w:rPr>
          <w:b w:val="0"/>
          <w:sz w:val="18"/>
        </w:rPr>
        <w:t>Sensitivity: WACC ±1% → fair value ±18% | FCF growth assumption ±5% → fair value ±22%</w:t>
      </w:r>
    </w:p>
    <w:p/>
    <w:p>
      <w:pPr>
        <w:pStyle w:val="Heading2"/>
        <w:jc w:val="left"/>
      </w:pPr>
      <w:r>
        <w:rPr>
          <w:color w:val="1F4E79"/>
        </w:rPr>
        <w:t>Moat Analysis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Pr>
                <w:b/>
                <w:color w:val="FFFFFF"/>
                <w:sz w:val="18"/>
              </w:rPr>
              <w:t>Moat Type</w:t>
            </w:r>
          </w:p>
        </w:tc>
        <w:tc>
          <w:tcPr>
            <w:tcW w:type="dxa" w:w="3024"/>
            <w:shd w:val="clear" w:color="auto" w:fill="1F4E79"/>
          </w:tcPr>
          <w:p>
            <w:r>
              <w:rPr>
                <w:b/>
                <w:color w:val="FFFFFF"/>
                <w:sz w:val="18"/>
              </w:rPr>
              <w:t>Specific Evidence</w:t>
            </w:r>
          </w:p>
        </w:tc>
        <w:tc>
          <w:tcPr>
            <w:tcW w:type="dxa" w:w="3024"/>
            <w:shd w:val="clear" w:color="auto" w:fill="1F4E79"/>
          </w:tcPr>
          <w:p>
            <w:r>
              <w:rPr>
                <w:b/>
                <w:color w:val="FFFFFF"/>
                <w:sz w:val="18"/>
              </w:rPr>
              <w:t>Strength</w:t>
            </w:r>
          </w:p>
        </w:tc>
      </w:tr>
      <w:tr>
        <w:tc>
          <w:tcPr>
            <w:tcW w:type="dxa" w:w="3024"/>
            <w:shd w:val="clear" w:color="auto" w:fill="EBF3FB"/>
          </w:tcPr>
          <w:p>
            <w:r>
              <w:rPr>
                <w:sz w:val="18"/>
              </w:rPr>
              <w:t>Network Effects</w:t>
            </w:r>
          </w:p>
        </w:tc>
        <w:tc>
          <w:tcPr>
            <w:tcW w:type="dxa" w:w="3024"/>
            <w:shd w:val="clear" w:color="auto" w:fill="EBF3FB"/>
          </w:tcPr>
          <w:p>
            <w:r>
              <w:rPr>
                <w:sz w:val="18"/>
              </w:rPr>
              <w:t>724M MAU Baidu App; search data flywheel trains ERNIE; more users → better AI → more users</w:t>
            </w:r>
          </w:p>
        </w:tc>
        <w:tc>
          <w:tcPr>
            <w:tcW w:type="dxa" w:w="3024"/>
            <w:shd w:val="clear" w:color="auto" w:fill="EBF3FB"/>
          </w:tcPr>
          <w:p>
            <w:r>
              <w:rPr>
                <w:sz w:val="18"/>
              </w:rPr>
              <w:t>Strong</w:t>
            </w:r>
          </w:p>
        </w:tc>
      </w:tr>
      <w:tr>
        <w:tc>
          <w:tcPr>
            <w:tcW w:type="dxa" w:w="3024"/>
            <w:shd w:val="clear" w:color="auto" w:fill="FFFFFF"/>
          </w:tcPr>
          <w:p>
            <w:r>
              <w:rPr>
                <w:sz w:val="18"/>
              </w:rPr>
              <w:t>Regulatory / Compliance</w:t>
            </w:r>
          </w:p>
        </w:tc>
        <w:tc>
          <w:tcPr>
            <w:tcW w:type="dxa" w:w="3024"/>
            <w:shd w:val="clear" w:color="auto" w:fill="FFFFFF"/>
          </w:tcPr>
          <w:p>
            <w:r>
              <w:rPr>
                <w:sz w:val="18"/>
              </w:rPr>
              <w:t>Deep PRC compliance; preferred local AI partner; gov't backing for Apollo Go rollout</w:t>
            </w:r>
          </w:p>
        </w:tc>
        <w:tc>
          <w:tcPr>
            <w:tcW w:type="dxa" w:w="3024"/>
            <w:shd w:val="clear" w:color="auto" w:fill="FFFFFF"/>
          </w:tcPr>
          <w:p>
            <w:r>
              <w:rPr>
                <w:sz w:val="18"/>
              </w:rPr>
              <w:t>Strong</w:t>
            </w:r>
          </w:p>
        </w:tc>
      </w:tr>
      <w:tr>
        <w:tc>
          <w:tcPr>
            <w:tcW w:type="dxa" w:w="3024"/>
            <w:shd w:val="clear" w:color="auto" w:fill="EBF3FB"/>
          </w:tcPr>
          <w:p>
            <w:r>
              <w:rPr>
                <w:sz w:val="18"/>
              </w:rPr>
              <w:t>Scale / Data Moat</w:t>
            </w:r>
          </w:p>
        </w:tc>
        <w:tc>
          <w:tcPr>
            <w:tcW w:type="dxa" w:w="3024"/>
            <w:shd w:val="clear" w:color="auto" w:fill="EBF3FB"/>
          </w:tcPr>
          <w:p>
            <w:r>
              <w:rPr>
                <w:sz w:val="18"/>
              </w:rPr>
              <w:t>Decades of Chinese-language search data; impossible to replicate; powers ERNIE training</w:t>
            </w:r>
          </w:p>
        </w:tc>
        <w:tc>
          <w:tcPr>
            <w:tcW w:type="dxa" w:w="3024"/>
            <w:shd w:val="clear" w:color="auto" w:fill="EBF3FB"/>
          </w:tcPr>
          <w:p>
            <w:r>
              <w:rPr>
                <w:sz w:val="18"/>
              </w:rPr>
              <w:t>Strong</w:t>
            </w:r>
          </w:p>
        </w:tc>
      </w:tr>
      <w:tr>
        <w:tc>
          <w:tcPr>
            <w:tcW w:type="dxa" w:w="3024"/>
            <w:shd w:val="clear" w:color="auto" w:fill="FFFFFF"/>
          </w:tcPr>
          <w:p>
            <w:r>
              <w:rPr>
                <w:sz w:val="18"/>
              </w:rPr>
              <w:t>Cost Advantage</w:t>
            </w:r>
          </w:p>
        </w:tc>
        <w:tc>
          <w:tcPr>
            <w:tcW w:type="dxa" w:w="3024"/>
            <w:shd w:val="clear" w:color="auto" w:fill="FFFFFF"/>
          </w:tcPr>
          <w:p>
            <w:r>
              <w:rPr>
                <w:sz w:val="18"/>
              </w:rPr>
              <w:t>ERNIE 4.5 delivers GPT-4.5 performance at 1% of the price — structural AI inference moat</w:t>
            </w:r>
          </w:p>
        </w:tc>
        <w:tc>
          <w:tcPr>
            <w:tcW w:type="dxa" w:w="3024"/>
            <w:shd w:val="clear" w:color="auto" w:fill="FFFFFF"/>
          </w:tcPr>
          <w:p>
            <w:r>
              <w:rPr>
                <w:sz w:val="18"/>
              </w:rPr>
              <w:t>Medium-Strong</w:t>
            </w:r>
          </w:p>
        </w:tc>
      </w:tr>
      <w:tr>
        <w:tc>
          <w:tcPr>
            <w:tcW w:type="dxa" w:w="3024"/>
            <w:shd w:val="clear" w:color="auto" w:fill="EBF3FB"/>
          </w:tcPr>
          <w:p>
            <w:r>
              <w:rPr>
                <w:sz w:val="18"/>
              </w:rPr>
              <w:t>Switching Costs</w:t>
            </w:r>
          </w:p>
        </w:tc>
        <w:tc>
          <w:tcPr>
            <w:tcW w:type="dxa" w:w="3024"/>
            <w:shd w:val="clear" w:color="auto" w:fill="EBF3FB"/>
          </w:tcPr>
          <w:p>
            <w:r>
              <w:rPr>
                <w:sz w:val="18"/>
              </w:rPr>
              <w:t>Enterprise Qianfan cloud customers face high migration costs (fine-tuning, API integration)</w:t>
            </w:r>
          </w:p>
        </w:tc>
        <w:tc>
          <w:tcPr>
            <w:tcW w:type="dxa" w:w="3024"/>
            <w:shd w:val="clear" w:color="auto" w:fill="EBF3FB"/>
          </w:tcPr>
          <w:p>
            <w:r>
              <w:rPr>
                <w:sz w:val="18"/>
              </w:rPr>
              <w:t>Medium</w:t>
            </w:r>
          </w:p>
        </w:tc>
      </w:tr>
      <w:tr>
        <w:tc>
          <w:tcPr>
            <w:tcW w:type="dxa" w:w="3024"/>
            <w:shd w:val="clear" w:color="auto" w:fill="FFFFFF"/>
          </w:tcPr>
          <w:p>
            <w:r>
              <w:rPr>
                <w:sz w:val="18"/>
              </w:rPr>
              <w:t>First-Mover (Robotaxi)</w:t>
            </w:r>
          </w:p>
        </w:tc>
        <w:tc>
          <w:tcPr>
            <w:tcW w:type="dxa" w:w="3024"/>
            <w:shd w:val="clear" w:color="auto" w:fill="FFFFFF"/>
          </w:tcPr>
          <w:p>
            <w:r>
              <w:rPr>
                <w:sz w:val="18"/>
              </w:rPr>
              <w:t>Apollo Go #1 globally by cumulative autonomous miles (190M km); RT6 cuts unit cost 60%</w:t>
            </w:r>
          </w:p>
        </w:tc>
        <w:tc>
          <w:tcPr>
            <w:tcW w:type="dxa" w:w="3024"/>
            <w:shd w:val="clear" w:color="auto" w:fill="FFFFFF"/>
          </w:tcPr>
          <w:p>
            <w:r>
              <w:rPr>
                <w:sz w:val="18"/>
              </w:rPr>
              <w:t>Medium (early stage)</w:t>
            </w:r>
          </w:p>
        </w:tc>
      </w:tr>
    </w:tbl>
    <w:p>
      <w:r>
        <w:rPr>
          <w:b w:val="0"/>
          <w:sz w:val="18"/>
        </w:rPr>
        <w:t>Overall Moat Rating: NARROW-TO-MODERATE. Core search moat eroding; AI/cloud moat nascent but forming rapidly. Regulatory/data moat durable.</w:t>
      </w:r>
    </w:p>
    <w:p/>
    <w:p>
      <w:pPr>
        <w:pStyle w:val="Heading2"/>
        <w:jc w:val="left"/>
      </w:pPr>
      <w:r>
        <w:rPr>
          <w:color w:val="1F4E79"/>
        </w:rPr>
        <w:t>Value Trap Checklist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Pr>
                <w:b/>
                <w:color w:val="FFFFFF"/>
                <w:sz w:val="18"/>
              </w:rPr>
              <w:t>Question</w:t>
            </w:r>
          </w:p>
        </w:tc>
        <w:tc>
          <w:tcPr>
            <w:tcW w:type="dxa" w:w="3024"/>
            <w:shd w:val="clear" w:color="auto" w:fill="1F4E79"/>
          </w:tcPr>
          <w:p>
            <w:r>
              <w:rPr>
                <w:b/>
                <w:color w:val="FFFFFF"/>
                <w:sz w:val="18"/>
              </w:rPr>
              <w:t>Answer</w:t>
            </w:r>
          </w:p>
        </w:tc>
        <w:tc>
          <w:tcPr>
            <w:tcW w:type="dxa" w:w="3024"/>
            <w:shd w:val="clear" w:color="auto" w:fill="1F4E79"/>
          </w:tcPr>
          <w:p>
            <w:r>
              <w:rPr>
                <w:b/>
                <w:color w:val="FFFFFF"/>
                <w:sz w:val="18"/>
              </w:rPr>
              <w:t>Evidence</w:t>
            </w:r>
          </w:p>
        </w:tc>
      </w:tr>
      <w:tr>
        <w:tc>
          <w:tcPr>
            <w:tcW w:type="dxa" w:w="3024"/>
            <w:shd w:val="clear" w:color="auto" w:fill="EBF3FB"/>
          </w:tcPr>
          <w:p>
            <w:r>
              <w:rPr>
                <w:sz w:val="18"/>
              </w:rPr>
              <w:t>Core business in secular decline?</w:t>
            </w:r>
          </w:p>
        </w:tc>
        <w:tc>
          <w:tcPr>
            <w:tcW w:type="dxa" w:w="3024"/>
            <w:shd w:val="clear" w:color="auto" w:fill="EBF3FB"/>
          </w:tcPr>
          <w:p>
            <w:r>
              <w:rPr>
                <w:sz w:val="18"/>
              </w:rPr>
              <w:t>⚠️ PARTIAL YES</w:t>
            </w:r>
          </w:p>
        </w:tc>
        <w:tc>
          <w:tcPr>
            <w:tcW w:type="dxa" w:w="3024"/>
            <w:shd w:val="clear" w:color="auto" w:fill="EBF3FB"/>
          </w:tcPr>
          <w:p>
            <w:r>
              <w:rPr>
                <w:sz w:val="18"/>
              </w:rPr>
              <w:t>Online advertising declining; FY2025 revenue -3% YoY</w:t>
            </w:r>
          </w:p>
        </w:tc>
      </w:tr>
      <w:tr>
        <w:tc>
          <w:tcPr>
            <w:tcW w:type="dxa" w:w="3024"/>
            <w:shd w:val="clear" w:color="auto" w:fill="FFFFFF"/>
          </w:tcPr>
          <w:p>
            <w:r>
              <w:rPr>
                <w:sz w:val="18"/>
              </w:rPr>
              <w:t>Competitors taking market share?</w:t>
            </w:r>
          </w:p>
        </w:tc>
        <w:tc>
          <w:tcPr>
            <w:tcW w:type="dxa" w:w="3024"/>
            <w:shd w:val="clear" w:color="auto" w:fill="FFFFFF"/>
          </w:tcPr>
          <w:p>
            <w:r>
              <w:rPr>
                <w:sz w:val="18"/>
              </w:rPr>
              <w:t>⚠️ YES (AI cloud)</w:t>
            </w:r>
          </w:p>
        </w:tc>
        <w:tc>
          <w:tcPr>
            <w:tcW w:type="dxa" w:w="3024"/>
            <w:shd w:val="clear" w:color="auto" w:fill="FFFFFF"/>
          </w:tcPr>
          <w:p>
            <w:r>
              <w:rPr>
                <w:sz w:val="18"/>
              </w:rPr>
              <w:t>Baidu is #5 in AI cloud; ByteDance dominant in token processing</w:t>
            </w:r>
          </w:p>
        </w:tc>
      </w:tr>
      <w:tr>
        <w:tc>
          <w:tcPr>
            <w:tcW w:type="dxa" w:w="3024"/>
            <w:shd w:val="clear" w:color="auto" w:fill="EBF3FB"/>
          </w:tcPr>
          <w:p>
            <w:r>
              <w:rPr>
                <w:sz w:val="18"/>
              </w:rPr>
              <w:t>Irrational M&amp;A or capital destruction?</w:t>
            </w:r>
          </w:p>
        </w:tc>
        <w:tc>
          <w:tcPr>
            <w:tcW w:type="dxa" w:w="3024"/>
            <w:shd w:val="clear" w:color="auto" w:fill="EBF3FB"/>
          </w:tcPr>
          <w:p>
            <w:r>
              <w:rPr>
                <w:sz w:val="18"/>
              </w:rPr>
              <w:t>✅ No</w:t>
            </w:r>
          </w:p>
        </w:tc>
        <w:tc>
          <w:tcPr>
            <w:tcW w:type="dxa" w:w="3024"/>
            <w:shd w:val="clear" w:color="auto" w:fill="EBF3FB"/>
          </w:tcPr>
          <w:p>
            <w:r>
              <w:rPr>
                <w:sz w:val="18"/>
              </w:rPr>
              <w:t>CapEx going to productive AI/robotaxi infrastructure</w:t>
            </w:r>
          </w:p>
        </w:tc>
      </w:tr>
      <w:tr>
        <w:tc>
          <w:tcPr>
            <w:tcW w:type="dxa" w:w="3024"/>
            <w:shd w:val="clear" w:color="auto" w:fill="FFFFFF"/>
          </w:tcPr>
          <w:p>
            <w:r>
              <w:rPr>
                <w:sz w:val="18"/>
              </w:rPr>
              <w:t>Balance sheet landmines?</w:t>
            </w:r>
          </w:p>
        </w:tc>
        <w:tc>
          <w:tcPr>
            <w:tcW w:type="dxa" w:w="3024"/>
            <w:shd w:val="clear" w:color="auto" w:fill="FFFFFF"/>
          </w:tcPr>
          <w:p>
            <w:r>
              <w:rPr>
                <w:sz w:val="18"/>
              </w:rPr>
              <w:t>✅ No</w:t>
            </w:r>
          </w:p>
        </w:tc>
        <w:tc>
          <w:tcPr>
            <w:tcW w:type="dxa" w:w="3024"/>
            <w:shd w:val="clear" w:color="auto" w:fill="FFFFFF"/>
          </w:tcPr>
          <w:p>
            <w:r>
              <w:rPr>
                <w:sz w:val="18"/>
              </w:rPr>
              <w:t>Net cash positive; D/E 32%; large cash cushion ($4.9B net)</w:t>
            </w:r>
          </w:p>
        </w:tc>
      </w:tr>
    </w:tbl>
    <w:p/>
    <w:p>
      <w:pPr>
        <w:pStyle w:val="Heading2"/>
        <w:jc w:val="left"/>
      </w:pPr>
      <w:r>
        <w:rPr>
          <w:color w:val="1F4E79"/>
        </w:rPr>
        <w:t>FCF Trend Analysis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Pr>
                <w:b/>
                <w:color w:val="FFFFFF"/>
                <w:sz w:val="18"/>
              </w:rPr>
              <w:t>Year</w:t>
            </w:r>
          </w:p>
        </w:tc>
        <w:tc>
          <w:tcPr>
            <w:tcW w:type="dxa" w:w="3024"/>
            <w:shd w:val="clear" w:color="auto" w:fill="1F4E79"/>
          </w:tcPr>
          <w:p>
            <w:r>
              <w:rPr>
                <w:b/>
                <w:color w:val="FFFFFF"/>
                <w:sz w:val="18"/>
              </w:rPr>
              <w:t>FCF (CNY B)</w:t>
            </w:r>
          </w:p>
        </w:tc>
        <w:tc>
          <w:tcPr>
            <w:tcW w:type="dxa" w:w="3024"/>
            <w:shd w:val="clear" w:color="auto" w:fill="1F4E79"/>
          </w:tcPr>
          <w:p>
            <w:r>
              <w:rPr>
                <w:b/>
                <w:color w:val="FFFFFF"/>
                <w:sz w:val="18"/>
              </w:rPr>
              <w:t>YoY Change</w:t>
            </w:r>
          </w:p>
        </w:tc>
      </w:tr>
      <w:tr>
        <w:tc>
          <w:tcPr>
            <w:tcW w:type="dxa" w:w="3024"/>
            <w:shd w:val="clear" w:color="auto" w:fill="EBF3FB"/>
          </w:tcPr>
          <w:p>
            <w:r>
              <w:rPr>
                <w:sz w:val="18"/>
              </w:rPr>
              <w:t>FY2021</w:t>
            </w:r>
          </w:p>
        </w:tc>
        <w:tc>
          <w:tcPr>
            <w:tcW w:type="dxa" w:w="3024"/>
            <w:shd w:val="clear" w:color="auto" w:fill="EBF3FB"/>
          </w:tcPr>
          <w:p>
            <w:r>
              <w:rPr>
                <w:sz w:val="18"/>
              </w:rPr>
              <w:t>9.2</w:t>
            </w:r>
          </w:p>
        </w:tc>
        <w:tc>
          <w:tcPr>
            <w:tcW w:type="dxa" w:w="3024"/>
            <w:shd w:val="clear" w:color="auto" w:fill="EBF3FB"/>
          </w:tcPr>
          <w:p>
            <w:r>
              <w:rPr>
                <w:sz w:val="18"/>
              </w:rPr>
              <w:t>—</w:t>
            </w:r>
          </w:p>
        </w:tc>
      </w:tr>
      <w:tr>
        <w:tc>
          <w:tcPr>
            <w:tcW w:type="dxa" w:w="3024"/>
            <w:shd w:val="clear" w:color="auto" w:fill="FFFFFF"/>
          </w:tcPr>
          <w:p>
            <w:r>
              <w:rPr>
                <w:sz w:val="18"/>
              </w:rPr>
              <w:t>FY2022</w:t>
            </w:r>
          </w:p>
        </w:tc>
        <w:tc>
          <w:tcPr>
            <w:tcW w:type="dxa" w:w="3024"/>
            <w:shd w:val="clear" w:color="auto" w:fill="FFFFFF"/>
          </w:tcPr>
          <w:p>
            <w:r>
              <w:rPr>
                <w:sz w:val="18"/>
              </w:rPr>
              <w:t>26.2</w:t>
            </w:r>
          </w:p>
        </w:tc>
        <w:tc>
          <w:tcPr>
            <w:tcW w:type="dxa" w:w="3024"/>
            <w:shd w:val="clear" w:color="auto" w:fill="FFFFFF"/>
          </w:tcPr>
          <w:p>
            <w:r>
              <w:rPr>
                <w:sz w:val="18"/>
              </w:rPr>
              <w:t>+185%</w:t>
            </w:r>
          </w:p>
        </w:tc>
      </w:tr>
      <w:tr>
        <w:tc>
          <w:tcPr>
            <w:tcW w:type="dxa" w:w="3024"/>
            <w:shd w:val="clear" w:color="auto" w:fill="EBF3FB"/>
          </w:tcPr>
          <w:p>
            <w:r>
              <w:rPr>
                <w:sz w:val="18"/>
              </w:rPr>
              <w:t>FY2023</w:t>
            </w:r>
          </w:p>
        </w:tc>
        <w:tc>
          <w:tcPr>
            <w:tcW w:type="dxa" w:w="3024"/>
            <w:shd w:val="clear" w:color="auto" w:fill="EBF3FB"/>
          </w:tcPr>
          <w:p>
            <w:r>
              <w:rPr>
                <w:sz w:val="18"/>
              </w:rPr>
              <w:t>25.4</w:t>
            </w:r>
          </w:p>
        </w:tc>
        <w:tc>
          <w:tcPr>
            <w:tcW w:type="dxa" w:w="3024"/>
            <w:shd w:val="clear" w:color="auto" w:fill="EBF3FB"/>
          </w:tcPr>
          <w:p>
            <w:r>
              <w:rPr>
                <w:sz w:val="18"/>
              </w:rPr>
              <w:t>-3%</w:t>
            </w:r>
          </w:p>
        </w:tc>
      </w:tr>
      <w:tr>
        <w:tc>
          <w:tcPr>
            <w:tcW w:type="dxa" w:w="3024"/>
            <w:shd w:val="clear" w:color="auto" w:fill="FFFFFF"/>
          </w:tcPr>
          <w:p>
            <w:r>
              <w:rPr>
                <w:sz w:val="18"/>
              </w:rPr>
              <w:t>FY2024</w:t>
            </w:r>
          </w:p>
        </w:tc>
        <w:tc>
          <w:tcPr>
            <w:tcW w:type="dxa" w:w="3024"/>
            <w:shd w:val="clear" w:color="auto" w:fill="FFFFFF"/>
          </w:tcPr>
          <w:p>
            <w:r>
              <w:rPr>
                <w:sz w:val="18"/>
              </w:rPr>
              <w:t>13.1</w:t>
            </w:r>
          </w:p>
        </w:tc>
        <w:tc>
          <w:tcPr>
            <w:tcW w:type="dxa" w:w="3024"/>
            <w:shd w:val="clear" w:color="auto" w:fill="FFFFFF"/>
          </w:tcPr>
          <w:p>
            <w:r>
              <w:rPr>
                <w:sz w:val="18"/>
              </w:rPr>
              <w:t>-48%</w:t>
            </w:r>
          </w:p>
        </w:tc>
      </w:tr>
      <w:tr>
        <w:tc>
          <w:tcPr>
            <w:tcW w:type="dxa" w:w="3024"/>
            <w:shd w:val="clear" w:color="auto" w:fill="EBF3FB"/>
          </w:tcPr>
          <w:p>
            <w:r>
              <w:rPr>
                <w:sz w:val="18"/>
              </w:rPr>
              <w:t>FY2025</w:t>
            </w:r>
          </w:p>
        </w:tc>
        <w:tc>
          <w:tcPr>
            <w:tcW w:type="dxa" w:w="3024"/>
            <w:shd w:val="clear" w:color="auto" w:fill="EBF3FB"/>
          </w:tcPr>
          <w:p>
            <w:r>
              <w:rPr>
                <w:sz w:val="18"/>
              </w:rPr>
              <w:t>-15.1</w:t>
            </w:r>
          </w:p>
        </w:tc>
        <w:tc>
          <w:tcPr>
            <w:tcW w:type="dxa" w:w="3024"/>
            <w:shd w:val="clear" w:color="auto" w:fill="EBF3FB"/>
          </w:tcPr>
          <w:p>
            <w:r>
              <w:rPr>
                <w:sz w:val="18"/>
              </w:rPr>
              <w:t>▼ investment-cycle trough</w:t>
            </w:r>
          </w:p>
        </w:tc>
      </w:tr>
      <w:tr>
        <w:tc>
          <w:tcPr>
            <w:tcW w:type="dxa" w:w="3024"/>
            <w:shd w:val="clear" w:color="auto" w:fill="FFFFFF"/>
          </w:tcPr>
          <w:p>
            <w:r>
              <w:rPr>
                <w:sz w:val="18"/>
              </w:rPr>
              <w:t>Trend</w:t>
            </w:r>
          </w:p>
        </w:tc>
        <w:tc>
          <w:tcPr>
            <w:tcW w:type="dxa" w:w="3024"/>
            <w:shd w:val="clear" w:color="auto" w:fill="FFFFFF"/>
          </w:tcPr>
          <w:p>
            <w:r>
              <w:rPr>
                <w:sz w:val="18"/>
              </w:rPr>
              <w:t>Investment-phase trough</w:t>
            </w:r>
          </w:p>
        </w:tc>
        <w:tc>
          <w:tcPr>
            <w:tcW w:type="dxa" w:w="3024"/>
            <w:shd w:val="clear" w:color="auto" w:fill="FFFFFF"/>
          </w:tcPr>
          <w:p>
            <w:r>
              <w:rPr>
                <w:sz w:val="18"/>
              </w:rPr>
              <w:t>FCF normalization expected FY2026–27</w:t>
            </w:r>
          </w:p>
        </w:tc>
      </w:tr>
    </w:tbl>
    <w:p>
      <w:r>
        <w:rPr>
          <w:b w:val="0"/>
          <w:sz w:val="18"/>
        </w:rPr>
        <w:t>FCF / Net Income FY2024: 13,100 / 23,760 = 0.55 (below 0.8 ideal threshold). CapEx/Revenue FY2025: 9.4% (elevated but purposeful AI infrastructure).</w:t>
      </w:r>
    </w:p>
    <w:p/>
    <w:p>
      <w:pPr>
        <w:pStyle w:val="Heading2"/>
        <w:jc w:val="left"/>
      </w:pPr>
      <w:r>
        <w:rPr>
          <w:color w:val="1F4E79"/>
        </w:rPr>
        <w:t>DCF Valuation — Base Case (WACC 12%, Terminal g 3%)</w:t>
      </w:r>
    </w:p>
    <w:p>
      <w:r>
        <w:rPr>
          <w:b w:val="0"/>
          <w:sz w:val="18"/>
        </w:rPr>
        <w:t>Normalized Base FCF: CNY 13,100M (FY2024). Growth Y1–5: ~8–10% blended. Growth Y6–10: ~7%.</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Year</w:t>
            </w:r>
          </w:p>
        </w:tc>
        <w:tc>
          <w:tcPr>
            <w:tcW w:type="dxa" w:w="2268"/>
            <w:shd w:val="clear" w:color="auto" w:fill="1F4E79"/>
          </w:tcPr>
          <w:p>
            <w:r>
              <w:rPr>
                <w:b/>
                <w:color w:val="FFFFFF"/>
                <w:sz w:val="18"/>
              </w:rPr>
              <w:t>FCF (CNY M)</w:t>
            </w:r>
          </w:p>
        </w:tc>
        <w:tc>
          <w:tcPr>
            <w:tcW w:type="dxa" w:w="2268"/>
            <w:shd w:val="clear" w:color="auto" w:fill="1F4E79"/>
          </w:tcPr>
          <w:p>
            <w:r>
              <w:rPr>
                <w:b/>
                <w:color w:val="FFFFFF"/>
                <w:sz w:val="18"/>
              </w:rPr>
              <w:t>Discount Factor</w:t>
            </w:r>
          </w:p>
        </w:tc>
        <w:tc>
          <w:tcPr>
            <w:tcW w:type="dxa" w:w="2268"/>
            <w:shd w:val="clear" w:color="auto" w:fill="1F4E79"/>
          </w:tcPr>
          <w:p>
            <w:r>
              <w:rPr>
                <w:b/>
                <w:color w:val="FFFFFF"/>
                <w:sz w:val="18"/>
              </w:rPr>
              <w:t>PV (CNY M)</w:t>
            </w:r>
          </w:p>
        </w:tc>
      </w:tr>
      <w:tr>
        <w:tc>
          <w:tcPr>
            <w:tcW w:type="dxa" w:w="2268"/>
            <w:shd w:val="clear" w:color="auto" w:fill="EBF3FB"/>
          </w:tcPr>
          <w:p>
            <w:r>
              <w:rPr>
                <w:sz w:val="18"/>
              </w:rPr>
              <w:t>1 (FY2026E)</w:t>
            </w:r>
          </w:p>
        </w:tc>
        <w:tc>
          <w:tcPr>
            <w:tcW w:type="dxa" w:w="2268"/>
            <w:shd w:val="clear" w:color="auto" w:fill="EBF3FB"/>
          </w:tcPr>
          <w:p>
            <w:r>
              <w:rPr>
                <w:sz w:val="18"/>
              </w:rPr>
              <w:t>13,755</w:t>
            </w:r>
          </w:p>
        </w:tc>
        <w:tc>
          <w:tcPr>
            <w:tcW w:type="dxa" w:w="2268"/>
            <w:shd w:val="clear" w:color="auto" w:fill="EBF3FB"/>
          </w:tcPr>
          <w:p>
            <w:r>
              <w:rPr>
                <w:sz w:val="18"/>
              </w:rPr>
              <w:t>0.8929</w:t>
            </w:r>
          </w:p>
        </w:tc>
        <w:tc>
          <w:tcPr>
            <w:tcW w:type="dxa" w:w="2268"/>
            <w:shd w:val="clear" w:color="auto" w:fill="EBF3FB"/>
          </w:tcPr>
          <w:p>
            <w:r>
              <w:rPr>
                <w:sz w:val="18"/>
              </w:rPr>
              <w:t>12,284</w:t>
            </w:r>
          </w:p>
        </w:tc>
      </w:tr>
      <w:tr>
        <w:tc>
          <w:tcPr>
            <w:tcW w:type="dxa" w:w="2268"/>
            <w:shd w:val="clear" w:color="auto" w:fill="FFFFFF"/>
          </w:tcPr>
          <w:p>
            <w:r>
              <w:rPr>
                <w:sz w:val="18"/>
              </w:rPr>
              <w:t>2 (FY2027E)</w:t>
            </w:r>
          </w:p>
        </w:tc>
        <w:tc>
          <w:tcPr>
            <w:tcW w:type="dxa" w:w="2268"/>
            <w:shd w:val="clear" w:color="auto" w:fill="FFFFFF"/>
          </w:tcPr>
          <w:p>
            <w:r>
              <w:rPr>
                <w:sz w:val="18"/>
              </w:rPr>
              <w:t>15,131</w:t>
            </w:r>
          </w:p>
        </w:tc>
        <w:tc>
          <w:tcPr>
            <w:tcW w:type="dxa" w:w="2268"/>
            <w:shd w:val="clear" w:color="auto" w:fill="FFFFFF"/>
          </w:tcPr>
          <w:p>
            <w:r>
              <w:rPr>
                <w:sz w:val="18"/>
              </w:rPr>
              <w:t>0.7972</w:t>
            </w:r>
          </w:p>
        </w:tc>
        <w:tc>
          <w:tcPr>
            <w:tcW w:type="dxa" w:w="2268"/>
            <w:shd w:val="clear" w:color="auto" w:fill="FFFFFF"/>
          </w:tcPr>
          <w:p>
            <w:r>
              <w:rPr>
                <w:sz w:val="18"/>
              </w:rPr>
              <w:t>12,066</w:t>
            </w:r>
          </w:p>
        </w:tc>
      </w:tr>
      <w:tr>
        <w:tc>
          <w:tcPr>
            <w:tcW w:type="dxa" w:w="2268"/>
            <w:shd w:val="clear" w:color="auto" w:fill="EBF3FB"/>
          </w:tcPr>
          <w:p>
            <w:r>
              <w:rPr>
                <w:sz w:val="18"/>
              </w:rPr>
              <w:t>3 (FY2028E)</w:t>
            </w:r>
          </w:p>
        </w:tc>
        <w:tc>
          <w:tcPr>
            <w:tcW w:type="dxa" w:w="2268"/>
            <w:shd w:val="clear" w:color="auto" w:fill="EBF3FB"/>
          </w:tcPr>
          <w:p>
            <w:r>
              <w:rPr>
                <w:sz w:val="18"/>
              </w:rPr>
              <w:t>16,947</w:t>
            </w:r>
          </w:p>
        </w:tc>
        <w:tc>
          <w:tcPr>
            <w:tcW w:type="dxa" w:w="2268"/>
            <w:shd w:val="clear" w:color="auto" w:fill="EBF3FB"/>
          </w:tcPr>
          <w:p>
            <w:r>
              <w:rPr>
                <w:sz w:val="18"/>
              </w:rPr>
              <w:t>0.7118</w:t>
            </w:r>
          </w:p>
        </w:tc>
        <w:tc>
          <w:tcPr>
            <w:tcW w:type="dxa" w:w="2268"/>
            <w:shd w:val="clear" w:color="auto" w:fill="EBF3FB"/>
          </w:tcPr>
          <w:p>
            <w:r>
              <w:rPr>
                <w:sz w:val="18"/>
              </w:rPr>
              <w:t>12,065</w:t>
            </w:r>
          </w:p>
        </w:tc>
      </w:tr>
      <w:tr>
        <w:tc>
          <w:tcPr>
            <w:tcW w:type="dxa" w:w="2268"/>
            <w:shd w:val="clear" w:color="auto" w:fill="FFFFFF"/>
          </w:tcPr>
          <w:p>
            <w:r>
              <w:rPr>
                <w:sz w:val="18"/>
              </w:rPr>
              <w:t>4 (FY2029E)</w:t>
            </w:r>
          </w:p>
        </w:tc>
        <w:tc>
          <w:tcPr>
            <w:tcW w:type="dxa" w:w="2268"/>
            <w:shd w:val="clear" w:color="auto" w:fill="FFFFFF"/>
          </w:tcPr>
          <w:p>
            <w:r>
              <w:rPr>
                <w:sz w:val="18"/>
              </w:rPr>
              <w:t>18,980</w:t>
            </w:r>
          </w:p>
        </w:tc>
        <w:tc>
          <w:tcPr>
            <w:tcW w:type="dxa" w:w="2268"/>
            <w:shd w:val="clear" w:color="auto" w:fill="FFFFFF"/>
          </w:tcPr>
          <w:p>
            <w:r>
              <w:rPr>
                <w:sz w:val="18"/>
              </w:rPr>
              <w:t>0.6355</w:t>
            </w:r>
          </w:p>
        </w:tc>
        <w:tc>
          <w:tcPr>
            <w:tcW w:type="dxa" w:w="2268"/>
            <w:shd w:val="clear" w:color="auto" w:fill="FFFFFF"/>
          </w:tcPr>
          <w:p>
            <w:r>
              <w:rPr>
                <w:sz w:val="18"/>
              </w:rPr>
              <w:t>12,062</w:t>
            </w:r>
          </w:p>
        </w:tc>
      </w:tr>
      <w:tr>
        <w:tc>
          <w:tcPr>
            <w:tcW w:type="dxa" w:w="2268"/>
            <w:shd w:val="clear" w:color="auto" w:fill="EBF3FB"/>
          </w:tcPr>
          <w:p>
            <w:r>
              <w:rPr>
                <w:sz w:val="18"/>
              </w:rPr>
              <w:t>5 (FY2030E)</w:t>
            </w:r>
          </w:p>
        </w:tc>
        <w:tc>
          <w:tcPr>
            <w:tcW w:type="dxa" w:w="2268"/>
            <w:shd w:val="clear" w:color="auto" w:fill="EBF3FB"/>
          </w:tcPr>
          <w:p>
            <w:r>
              <w:rPr>
                <w:sz w:val="18"/>
              </w:rPr>
              <w:t>20,878</w:t>
            </w:r>
          </w:p>
        </w:tc>
        <w:tc>
          <w:tcPr>
            <w:tcW w:type="dxa" w:w="2268"/>
            <w:shd w:val="clear" w:color="auto" w:fill="EBF3FB"/>
          </w:tcPr>
          <w:p>
            <w:r>
              <w:rPr>
                <w:sz w:val="18"/>
              </w:rPr>
              <w:t>0.5674</w:t>
            </w:r>
          </w:p>
        </w:tc>
        <w:tc>
          <w:tcPr>
            <w:tcW w:type="dxa" w:w="2268"/>
            <w:shd w:val="clear" w:color="auto" w:fill="EBF3FB"/>
          </w:tcPr>
          <w:p>
            <w:r>
              <w:rPr>
                <w:sz w:val="18"/>
              </w:rPr>
              <w:t>11,850</w:t>
            </w:r>
          </w:p>
        </w:tc>
      </w:tr>
      <w:tr>
        <w:tc>
          <w:tcPr>
            <w:tcW w:type="dxa" w:w="2268"/>
            <w:shd w:val="clear" w:color="auto" w:fill="FFFFFF"/>
          </w:tcPr>
          <w:p>
            <w:r>
              <w:rPr>
                <w:sz w:val="18"/>
              </w:rPr>
              <w:t>6 (FY2031E)</w:t>
            </w:r>
          </w:p>
        </w:tc>
        <w:tc>
          <w:tcPr>
            <w:tcW w:type="dxa" w:w="2268"/>
            <w:shd w:val="clear" w:color="auto" w:fill="FFFFFF"/>
          </w:tcPr>
          <w:p>
            <w:r>
              <w:rPr>
                <w:sz w:val="18"/>
              </w:rPr>
              <w:t>22,548</w:t>
            </w:r>
          </w:p>
        </w:tc>
        <w:tc>
          <w:tcPr>
            <w:tcW w:type="dxa" w:w="2268"/>
            <w:shd w:val="clear" w:color="auto" w:fill="FFFFFF"/>
          </w:tcPr>
          <w:p>
            <w:r>
              <w:rPr>
                <w:sz w:val="18"/>
              </w:rPr>
              <w:t>0.5066</w:t>
            </w:r>
          </w:p>
        </w:tc>
        <w:tc>
          <w:tcPr>
            <w:tcW w:type="dxa" w:w="2268"/>
            <w:shd w:val="clear" w:color="auto" w:fill="FFFFFF"/>
          </w:tcPr>
          <w:p>
            <w:r>
              <w:rPr>
                <w:sz w:val="18"/>
              </w:rPr>
              <w:t>11,425</w:t>
            </w:r>
          </w:p>
        </w:tc>
      </w:tr>
      <w:tr>
        <w:tc>
          <w:tcPr>
            <w:tcW w:type="dxa" w:w="2268"/>
            <w:shd w:val="clear" w:color="auto" w:fill="EBF3FB"/>
          </w:tcPr>
          <w:p>
            <w:r>
              <w:rPr>
                <w:sz w:val="18"/>
              </w:rPr>
              <w:t>7 (FY2032E)</w:t>
            </w:r>
          </w:p>
        </w:tc>
        <w:tc>
          <w:tcPr>
            <w:tcW w:type="dxa" w:w="2268"/>
            <w:shd w:val="clear" w:color="auto" w:fill="EBF3FB"/>
          </w:tcPr>
          <w:p>
            <w:r>
              <w:rPr>
                <w:sz w:val="18"/>
              </w:rPr>
              <w:t>24,126</w:t>
            </w:r>
          </w:p>
        </w:tc>
        <w:tc>
          <w:tcPr>
            <w:tcW w:type="dxa" w:w="2268"/>
            <w:shd w:val="clear" w:color="auto" w:fill="EBF3FB"/>
          </w:tcPr>
          <w:p>
            <w:r>
              <w:rPr>
                <w:sz w:val="18"/>
              </w:rPr>
              <w:t>0.4523</w:t>
            </w:r>
          </w:p>
        </w:tc>
        <w:tc>
          <w:tcPr>
            <w:tcW w:type="dxa" w:w="2268"/>
            <w:shd w:val="clear" w:color="auto" w:fill="EBF3FB"/>
          </w:tcPr>
          <w:p>
            <w:r>
              <w:rPr>
                <w:sz w:val="18"/>
              </w:rPr>
              <w:t>10,913</w:t>
            </w:r>
          </w:p>
        </w:tc>
      </w:tr>
      <w:tr>
        <w:tc>
          <w:tcPr>
            <w:tcW w:type="dxa" w:w="2268"/>
            <w:shd w:val="clear" w:color="auto" w:fill="FFFFFF"/>
          </w:tcPr>
          <w:p>
            <w:r>
              <w:rPr>
                <w:sz w:val="18"/>
              </w:rPr>
              <w:t>8 (FY2033E)</w:t>
            </w:r>
          </w:p>
        </w:tc>
        <w:tc>
          <w:tcPr>
            <w:tcW w:type="dxa" w:w="2268"/>
            <w:shd w:val="clear" w:color="auto" w:fill="FFFFFF"/>
          </w:tcPr>
          <w:p>
            <w:r>
              <w:rPr>
                <w:sz w:val="18"/>
              </w:rPr>
              <w:t>25,574</w:t>
            </w:r>
          </w:p>
        </w:tc>
        <w:tc>
          <w:tcPr>
            <w:tcW w:type="dxa" w:w="2268"/>
            <w:shd w:val="clear" w:color="auto" w:fill="FFFFFF"/>
          </w:tcPr>
          <w:p>
            <w:r>
              <w:rPr>
                <w:sz w:val="18"/>
              </w:rPr>
              <w:t>0.4039</w:t>
            </w:r>
          </w:p>
        </w:tc>
        <w:tc>
          <w:tcPr>
            <w:tcW w:type="dxa" w:w="2268"/>
            <w:shd w:val="clear" w:color="auto" w:fill="FFFFFF"/>
          </w:tcPr>
          <w:p>
            <w:r>
              <w:rPr>
                <w:sz w:val="18"/>
              </w:rPr>
              <w:t>10,329</w:t>
            </w:r>
          </w:p>
        </w:tc>
      </w:tr>
      <w:tr>
        <w:tc>
          <w:tcPr>
            <w:tcW w:type="dxa" w:w="2268"/>
            <w:shd w:val="clear" w:color="auto" w:fill="EBF3FB"/>
          </w:tcPr>
          <w:p>
            <w:r>
              <w:rPr>
                <w:sz w:val="18"/>
              </w:rPr>
              <w:t>9 (FY2034E)</w:t>
            </w:r>
          </w:p>
        </w:tc>
        <w:tc>
          <w:tcPr>
            <w:tcW w:type="dxa" w:w="2268"/>
            <w:shd w:val="clear" w:color="auto" w:fill="EBF3FB"/>
          </w:tcPr>
          <w:p>
            <w:r>
              <w:rPr>
                <w:sz w:val="18"/>
              </w:rPr>
              <w:t>26,852</w:t>
            </w:r>
          </w:p>
        </w:tc>
        <w:tc>
          <w:tcPr>
            <w:tcW w:type="dxa" w:w="2268"/>
            <w:shd w:val="clear" w:color="auto" w:fill="EBF3FB"/>
          </w:tcPr>
          <w:p>
            <w:r>
              <w:rPr>
                <w:sz w:val="18"/>
              </w:rPr>
              <w:t>0.3606</w:t>
            </w:r>
          </w:p>
        </w:tc>
        <w:tc>
          <w:tcPr>
            <w:tcW w:type="dxa" w:w="2268"/>
            <w:shd w:val="clear" w:color="auto" w:fill="EBF3FB"/>
          </w:tcPr>
          <w:p>
            <w:r>
              <w:rPr>
                <w:sz w:val="18"/>
              </w:rPr>
              <w:t>9,686</w:t>
            </w:r>
          </w:p>
        </w:tc>
      </w:tr>
      <w:tr>
        <w:tc>
          <w:tcPr>
            <w:tcW w:type="dxa" w:w="2268"/>
            <w:shd w:val="clear" w:color="auto" w:fill="FFFFFF"/>
          </w:tcPr>
          <w:p>
            <w:r>
              <w:rPr>
                <w:sz w:val="18"/>
              </w:rPr>
              <w:t>10 (FY2035E)</w:t>
            </w:r>
          </w:p>
        </w:tc>
        <w:tc>
          <w:tcPr>
            <w:tcW w:type="dxa" w:w="2268"/>
            <w:shd w:val="clear" w:color="auto" w:fill="FFFFFF"/>
          </w:tcPr>
          <w:p>
            <w:r>
              <w:rPr>
                <w:sz w:val="18"/>
              </w:rPr>
              <w:t>27,926</w:t>
            </w:r>
          </w:p>
        </w:tc>
        <w:tc>
          <w:tcPr>
            <w:tcW w:type="dxa" w:w="2268"/>
            <w:shd w:val="clear" w:color="auto" w:fill="FFFFFF"/>
          </w:tcPr>
          <w:p>
            <w:r>
              <w:rPr>
                <w:sz w:val="18"/>
              </w:rPr>
              <w:t>0.3220</w:t>
            </w:r>
          </w:p>
        </w:tc>
        <w:tc>
          <w:tcPr>
            <w:tcW w:type="dxa" w:w="2268"/>
            <w:shd w:val="clear" w:color="auto" w:fill="FFFFFF"/>
          </w:tcPr>
          <w:p>
            <w:r>
              <w:rPr>
                <w:sz w:val="18"/>
              </w:rPr>
              <w:t>8,992</w:t>
            </w:r>
          </w:p>
        </w:tc>
      </w:tr>
      <w:tr>
        <w:tc>
          <w:tcPr>
            <w:tcW w:type="dxa" w:w="2268"/>
            <w:shd w:val="clear" w:color="auto" w:fill="EBF3FB"/>
          </w:tcPr>
          <w:p>
            <w:r>
              <w:rPr>
                <w:sz w:val="18"/>
              </w:rPr>
              <w:t>Sum Years 1–10</w:t>
            </w:r>
          </w:p>
        </w:tc>
        <w:tc>
          <w:tcPr>
            <w:tcW w:type="dxa" w:w="2268"/>
            <w:shd w:val="clear" w:color="auto" w:fill="EBF3FB"/>
          </w:tcPr>
          <w:p>
            <w:r>
              <w:rPr>
                <w:sz w:val="18"/>
              </w:rPr>
            </w:r>
          </w:p>
        </w:tc>
        <w:tc>
          <w:tcPr>
            <w:tcW w:type="dxa" w:w="2268"/>
            <w:shd w:val="clear" w:color="auto" w:fill="EBF3FB"/>
          </w:tcPr>
          <w:p>
            <w:r>
              <w:rPr>
                <w:sz w:val="18"/>
              </w:rPr>
            </w:r>
          </w:p>
        </w:tc>
        <w:tc>
          <w:tcPr>
            <w:tcW w:type="dxa" w:w="2268"/>
            <w:shd w:val="clear" w:color="auto" w:fill="EBF3FB"/>
          </w:tcPr>
          <w:p>
            <w:r>
              <w:rPr>
                <w:sz w:val="18"/>
              </w:rPr>
              <w:t>111,672</w:t>
            </w:r>
          </w:p>
        </w:tc>
      </w:tr>
      <w:tr>
        <w:tc>
          <w:tcPr>
            <w:tcW w:type="dxa" w:w="2268"/>
            <w:shd w:val="clear" w:color="auto" w:fill="FFFFFF"/>
          </w:tcPr>
          <w:p>
            <w:r>
              <w:rPr>
                <w:sz w:val="18"/>
              </w:rPr>
              <w:t>Terminal Value PV</w:t>
            </w:r>
          </w:p>
        </w:tc>
        <w:tc>
          <w:tcPr>
            <w:tcW w:type="dxa" w:w="2268"/>
            <w:shd w:val="clear" w:color="auto" w:fill="FFFFFF"/>
          </w:tcPr>
          <w:p>
            <w:r>
              <w:rPr>
                <w:sz w:val="18"/>
              </w:rPr>
              <w:t>27,926×1.03/(0.09) discounted</w:t>
            </w:r>
          </w:p>
        </w:tc>
        <w:tc>
          <w:tcPr>
            <w:tcW w:type="dxa" w:w="2268"/>
            <w:shd w:val="clear" w:color="auto" w:fill="FFFFFF"/>
          </w:tcPr>
          <w:p>
            <w:r>
              <w:rPr>
                <w:sz w:val="18"/>
              </w:rPr>
            </w:r>
          </w:p>
        </w:tc>
        <w:tc>
          <w:tcPr>
            <w:tcW w:type="dxa" w:w="2268"/>
            <w:shd w:val="clear" w:color="auto" w:fill="FFFFFF"/>
          </w:tcPr>
          <w:p>
            <w:r>
              <w:rPr>
                <w:sz w:val="18"/>
              </w:rPr>
              <w:t>102,911</w:t>
            </w:r>
          </w:p>
        </w:tc>
      </w:tr>
      <w:tr>
        <w:tc>
          <w:tcPr>
            <w:tcW w:type="dxa" w:w="2268"/>
            <w:shd w:val="clear" w:color="auto" w:fill="EBF3FB"/>
          </w:tcPr>
          <w:p>
            <w:r>
              <w:rPr>
                <w:sz w:val="18"/>
              </w:rPr>
              <w:t>Enterprise Value</w:t>
            </w:r>
          </w:p>
        </w:tc>
        <w:tc>
          <w:tcPr>
            <w:tcW w:type="dxa" w:w="2268"/>
            <w:shd w:val="clear" w:color="auto" w:fill="EBF3FB"/>
          </w:tcPr>
          <w:p>
            <w:r>
              <w:rPr>
                <w:sz w:val="18"/>
              </w:rPr>
            </w:r>
          </w:p>
        </w:tc>
        <w:tc>
          <w:tcPr>
            <w:tcW w:type="dxa" w:w="2268"/>
            <w:shd w:val="clear" w:color="auto" w:fill="EBF3FB"/>
          </w:tcPr>
          <w:p>
            <w:r>
              <w:rPr>
                <w:sz w:val="18"/>
              </w:rPr>
            </w:r>
          </w:p>
        </w:tc>
        <w:tc>
          <w:tcPr>
            <w:tcW w:type="dxa" w:w="2268"/>
            <w:shd w:val="clear" w:color="auto" w:fill="EBF3FB"/>
          </w:tcPr>
          <w:p>
            <w:r>
              <w:rPr>
                <w:sz w:val="18"/>
              </w:rPr>
              <w:t>214,583</w:t>
            </w:r>
          </w:p>
        </w:tc>
      </w:tr>
      <w:tr>
        <w:tc>
          <w:tcPr>
            <w:tcW w:type="dxa" w:w="2268"/>
            <w:shd w:val="clear" w:color="auto" w:fill="FFFFFF"/>
          </w:tcPr>
          <w:p>
            <w:r>
              <w:rPr>
                <w:sz w:val="18"/>
              </w:rPr>
              <w:t>+ Net Cash</w:t>
            </w:r>
          </w:p>
        </w:tc>
        <w:tc>
          <w:tcPr>
            <w:tcW w:type="dxa" w:w="2268"/>
            <w:shd w:val="clear" w:color="auto" w:fill="FFFFFF"/>
          </w:tcPr>
          <w:p>
            <w:r>
              <w:rPr>
                <w:sz w:val="18"/>
              </w:rPr>
            </w:r>
          </w:p>
        </w:tc>
        <w:tc>
          <w:tcPr>
            <w:tcW w:type="dxa" w:w="2268"/>
            <w:shd w:val="clear" w:color="auto" w:fill="FFFFFF"/>
          </w:tcPr>
          <w:p>
            <w:r>
              <w:rPr>
                <w:sz w:val="18"/>
              </w:rPr>
            </w:r>
          </w:p>
        </w:tc>
        <w:tc>
          <w:tcPr>
            <w:tcW w:type="dxa" w:w="2268"/>
            <w:shd w:val="clear" w:color="auto" w:fill="FFFFFF"/>
          </w:tcPr>
          <w:p>
            <w:r>
              <w:rPr>
                <w:sz w:val="18"/>
              </w:rPr>
              <w:t>35,100</w:t>
            </w:r>
          </w:p>
        </w:tc>
      </w:tr>
      <w:tr>
        <w:tc>
          <w:tcPr>
            <w:tcW w:type="dxa" w:w="2268"/>
            <w:shd w:val="clear" w:color="auto" w:fill="EBF3FB"/>
          </w:tcPr>
          <w:p>
            <w:r>
              <w:rPr>
                <w:sz w:val="18"/>
              </w:rPr>
              <w:t>Equity Value (CNY M)</w:t>
            </w:r>
          </w:p>
        </w:tc>
        <w:tc>
          <w:tcPr>
            <w:tcW w:type="dxa" w:w="2268"/>
            <w:shd w:val="clear" w:color="auto" w:fill="EBF3FB"/>
          </w:tcPr>
          <w:p>
            <w:r>
              <w:rPr>
                <w:sz w:val="18"/>
              </w:rPr>
            </w:r>
          </w:p>
        </w:tc>
        <w:tc>
          <w:tcPr>
            <w:tcW w:type="dxa" w:w="2268"/>
            <w:shd w:val="clear" w:color="auto" w:fill="EBF3FB"/>
          </w:tcPr>
          <w:p>
            <w:r>
              <w:rPr>
                <w:sz w:val="18"/>
              </w:rPr>
            </w:r>
          </w:p>
        </w:tc>
        <w:tc>
          <w:tcPr>
            <w:tcW w:type="dxa" w:w="2268"/>
            <w:shd w:val="clear" w:color="auto" w:fill="EBF3FB"/>
          </w:tcPr>
          <w:p>
            <w:r>
              <w:rPr>
                <w:sz w:val="18"/>
              </w:rPr>
              <w:t>249,683</w:t>
            </w:r>
          </w:p>
        </w:tc>
      </w:tr>
      <w:tr>
        <w:tc>
          <w:tcPr>
            <w:tcW w:type="dxa" w:w="2268"/>
            <w:shd w:val="clear" w:color="auto" w:fill="FFFFFF"/>
          </w:tcPr>
          <w:p>
            <w:r>
              <w:rPr>
                <w:sz w:val="18"/>
              </w:rPr>
              <w:t>÷ 7.10 (CNY/USD)</w:t>
            </w:r>
          </w:p>
        </w:tc>
        <w:tc>
          <w:tcPr>
            <w:tcW w:type="dxa" w:w="2268"/>
            <w:shd w:val="clear" w:color="auto" w:fill="FFFFFF"/>
          </w:tcPr>
          <w:p>
            <w:r>
              <w:rPr>
                <w:sz w:val="18"/>
              </w:rPr>
            </w:r>
          </w:p>
        </w:tc>
        <w:tc>
          <w:tcPr>
            <w:tcW w:type="dxa" w:w="2268"/>
            <w:shd w:val="clear" w:color="auto" w:fill="FFFFFF"/>
          </w:tcPr>
          <w:p>
            <w:r>
              <w:rPr>
                <w:sz w:val="18"/>
              </w:rPr>
            </w:r>
          </w:p>
        </w:tc>
        <w:tc>
          <w:tcPr>
            <w:tcW w:type="dxa" w:w="2268"/>
            <w:shd w:val="clear" w:color="auto" w:fill="FFFFFF"/>
          </w:tcPr>
          <w:p>
            <w:r>
              <w:rPr>
                <w:sz w:val="18"/>
              </w:rPr>
              <w:t>$35,167M</w:t>
            </w:r>
          </w:p>
        </w:tc>
      </w:tr>
      <w:tr>
        <w:tc>
          <w:tcPr>
            <w:tcW w:type="dxa" w:w="2268"/>
            <w:shd w:val="clear" w:color="auto" w:fill="EBF3FB"/>
          </w:tcPr>
          <w:p>
            <w:r>
              <w:rPr>
                <w:sz w:val="18"/>
              </w:rPr>
              <w:t>÷ 340.25M ADS</w:t>
            </w:r>
          </w:p>
        </w:tc>
        <w:tc>
          <w:tcPr>
            <w:tcW w:type="dxa" w:w="2268"/>
            <w:shd w:val="clear" w:color="auto" w:fill="EBF3FB"/>
          </w:tcPr>
          <w:p>
            <w:r>
              <w:rPr>
                <w:sz w:val="18"/>
              </w:rPr>
            </w:r>
          </w:p>
        </w:tc>
        <w:tc>
          <w:tcPr>
            <w:tcW w:type="dxa" w:w="2268"/>
            <w:shd w:val="clear" w:color="auto" w:fill="EBF3FB"/>
          </w:tcPr>
          <w:p>
            <w:r>
              <w:rPr>
                <w:sz w:val="18"/>
              </w:rPr>
            </w:r>
          </w:p>
        </w:tc>
        <w:tc>
          <w:tcPr>
            <w:tcW w:type="dxa" w:w="2268"/>
            <w:shd w:val="clear" w:color="auto" w:fill="EBF3FB"/>
          </w:tcPr>
          <w:p>
            <w:r>
              <w:rPr>
                <w:sz w:val="18"/>
              </w:rPr>
              <w:t>$103.4 / ADS</w:t>
            </w:r>
          </w:p>
        </w:tc>
      </w:tr>
    </w:tbl>
    <w:p>
      <w:r>
        <w:rPr>
          <w:b w:val="0"/>
          <w:sz w:val="18"/>
        </w:rPr>
        <w:t>Gordon Model cross-check: ~$80–81/ADS (single-stage). 10-year DCF difference: ~28% — within 30% tolerance. ✅</w:t>
      </w:r>
    </w:p>
    <w:p/>
    <w:p>
      <w:pPr>
        <w:pStyle w:val="Heading2"/>
        <w:jc w:val="left"/>
      </w:pPr>
      <w:r>
        <w:rPr>
          <w:color w:val="1F4E79"/>
        </w:rPr>
        <w:t>Three-Scenario Valuation</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E79"/>
          </w:tcPr>
          <w:p>
            <w:r>
              <w:rPr>
                <w:b/>
                <w:color w:val="FFFFFF"/>
                <w:sz w:val="18"/>
              </w:rPr>
              <w:t>Scenario</w:t>
            </w:r>
          </w:p>
        </w:tc>
        <w:tc>
          <w:tcPr>
            <w:tcW w:type="dxa" w:w="1296"/>
            <w:shd w:val="clear" w:color="auto" w:fill="1F4E79"/>
          </w:tcPr>
          <w:p>
            <w:r>
              <w:rPr>
                <w:b/>
                <w:color w:val="FFFFFF"/>
                <w:sz w:val="18"/>
              </w:rPr>
              <w:t>Probability</w:t>
            </w:r>
          </w:p>
        </w:tc>
        <w:tc>
          <w:tcPr>
            <w:tcW w:type="dxa" w:w="1296"/>
            <w:shd w:val="clear" w:color="auto" w:fill="1F4E79"/>
          </w:tcPr>
          <w:p>
            <w:r>
              <w:rPr>
                <w:b/>
                <w:color w:val="FFFFFF"/>
                <w:sz w:val="18"/>
              </w:rPr>
              <w:t>WACC</w:t>
            </w:r>
          </w:p>
        </w:tc>
        <w:tc>
          <w:tcPr>
            <w:tcW w:type="dxa" w:w="1296"/>
            <w:shd w:val="clear" w:color="auto" w:fill="1F4E79"/>
          </w:tcPr>
          <w:p>
            <w:r>
              <w:rPr>
                <w:b/>
                <w:color w:val="FFFFFF"/>
                <w:sz w:val="18"/>
              </w:rPr>
              <w:t>Y1–5 Growth</w:t>
            </w:r>
          </w:p>
        </w:tc>
        <w:tc>
          <w:tcPr>
            <w:tcW w:type="dxa" w:w="1296"/>
            <w:shd w:val="clear" w:color="auto" w:fill="1F4E79"/>
          </w:tcPr>
          <w:p>
            <w:r>
              <w:rPr>
                <w:b/>
                <w:color w:val="FFFFFF"/>
                <w:sz w:val="18"/>
              </w:rPr>
              <w:t>Y6–10 Growth</w:t>
            </w:r>
          </w:p>
        </w:tc>
        <w:tc>
          <w:tcPr>
            <w:tcW w:type="dxa" w:w="1296"/>
            <w:shd w:val="clear" w:color="auto" w:fill="1F4E79"/>
          </w:tcPr>
          <w:p>
            <w:r>
              <w:rPr>
                <w:b/>
                <w:color w:val="FFFFFF"/>
                <w:sz w:val="18"/>
              </w:rPr>
              <w:t>Terminal g</w:t>
            </w:r>
          </w:p>
        </w:tc>
        <w:tc>
          <w:tcPr>
            <w:tcW w:type="dxa" w:w="1296"/>
            <w:shd w:val="clear" w:color="auto" w:fill="1F4E79"/>
          </w:tcPr>
          <w:p>
            <w:r>
              <w:rPr>
                <w:b/>
                <w:color w:val="FFFFFF"/>
                <w:sz w:val="18"/>
              </w:rPr>
              <w:t>Fair Value/ADS</w:t>
            </w:r>
          </w:p>
        </w:tc>
      </w:tr>
      <w:tr>
        <w:tc>
          <w:tcPr>
            <w:tcW w:type="dxa" w:w="1296"/>
            <w:shd w:val="clear" w:color="auto" w:fill="EBF3FB"/>
          </w:tcPr>
          <w:p>
            <w:r>
              <w:rPr>
                <w:sz w:val="18"/>
              </w:rPr>
              <w:t>Bear</w:t>
            </w:r>
          </w:p>
        </w:tc>
        <w:tc>
          <w:tcPr>
            <w:tcW w:type="dxa" w:w="1296"/>
            <w:shd w:val="clear" w:color="auto" w:fill="EBF3FB"/>
          </w:tcPr>
          <w:p>
            <w:r>
              <w:rPr>
                <w:sz w:val="18"/>
              </w:rPr>
              <w:t>25%</w:t>
            </w:r>
          </w:p>
        </w:tc>
        <w:tc>
          <w:tcPr>
            <w:tcW w:type="dxa" w:w="1296"/>
            <w:shd w:val="clear" w:color="auto" w:fill="EBF3FB"/>
          </w:tcPr>
          <w:p>
            <w:r>
              <w:rPr>
                <w:sz w:val="18"/>
              </w:rPr>
              <w:t>13%</w:t>
            </w:r>
          </w:p>
        </w:tc>
        <w:tc>
          <w:tcPr>
            <w:tcW w:type="dxa" w:w="1296"/>
            <w:shd w:val="clear" w:color="auto" w:fill="EBF3FB"/>
          </w:tcPr>
          <w:p>
            <w:r>
              <w:rPr>
                <w:sz w:val="18"/>
              </w:rPr>
              <w:t>3%</w:t>
            </w:r>
          </w:p>
        </w:tc>
        <w:tc>
          <w:tcPr>
            <w:tcW w:type="dxa" w:w="1296"/>
            <w:shd w:val="clear" w:color="auto" w:fill="EBF3FB"/>
          </w:tcPr>
          <w:p>
            <w:r>
              <w:rPr>
                <w:sz w:val="18"/>
              </w:rPr>
              <w:t>2%</w:t>
            </w:r>
          </w:p>
        </w:tc>
        <w:tc>
          <w:tcPr>
            <w:tcW w:type="dxa" w:w="1296"/>
            <w:shd w:val="clear" w:color="auto" w:fill="EBF3FB"/>
          </w:tcPr>
          <w:p>
            <w:r>
              <w:rPr>
                <w:sz w:val="18"/>
              </w:rPr>
              <w:t>2%</w:t>
            </w:r>
          </w:p>
        </w:tc>
        <w:tc>
          <w:tcPr>
            <w:tcW w:type="dxa" w:w="1296"/>
            <w:shd w:val="clear" w:color="auto" w:fill="EBF3FB"/>
          </w:tcPr>
          <w:p>
            <w:r>
              <w:rPr>
                <w:sz w:val="18"/>
              </w:rPr>
              <w:t>$66.5</w:t>
            </w:r>
          </w:p>
        </w:tc>
      </w:tr>
      <w:tr>
        <w:tc>
          <w:tcPr>
            <w:tcW w:type="dxa" w:w="1296"/>
            <w:shd w:val="clear" w:color="auto" w:fill="FFFFFF"/>
          </w:tcPr>
          <w:p>
            <w:r>
              <w:rPr>
                <w:sz w:val="18"/>
              </w:rPr>
              <w:t>Base</w:t>
            </w:r>
          </w:p>
        </w:tc>
        <w:tc>
          <w:tcPr>
            <w:tcW w:type="dxa" w:w="1296"/>
            <w:shd w:val="clear" w:color="auto" w:fill="FFFFFF"/>
          </w:tcPr>
          <w:p>
            <w:r>
              <w:rPr>
                <w:sz w:val="18"/>
              </w:rPr>
              <w:t>55%</w:t>
            </w:r>
          </w:p>
        </w:tc>
        <w:tc>
          <w:tcPr>
            <w:tcW w:type="dxa" w:w="1296"/>
            <w:shd w:val="clear" w:color="auto" w:fill="FFFFFF"/>
          </w:tcPr>
          <w:p>
            <w:r>
              <w:rPr>
                <w:sz w:val="18"/>
              </w:rPr>
              <w:t>12%</w:t>
            </w:r>
          </w:p>
        </w:tc>
        <w:tc>
          <w:tcPr>
            <w:tcW w:type="dxa" w:w="1296"/>
            <w:shd w:val="clear" w:color="auto" w:fill="FFFFFF"/>
          </w:tcPr>
          <w:p>
            <w:r>
              <w:rPr>
                <w:sz w:val="18"/>
              </w:rPr>
              <w:t>~8–10%</w:t>
            </w:r>
          </w:p>
        </w:tc>
        <w:tc>
          <w:tcPr>
            <w:tcW w:type="dxa" w:w="1296"/>
            <w:shd w:val="clear" w:color="auto" w:fill="FFFFFF"/>
          </w:tcPr>
          <w:p>
            <w:r>
              <w:rPr>
                <w:sz w:val="18"/>
              </w:rPr>
              <w:t>~7%</w:t>
            </w:r>
          </w:p>
        </w:tc>
        <w:tc>
          <w:tcPr>
            <w:tcW w:type="dxa" w:w="1296"/>
            <w:shd w:val="clear" w:color="auto" w:fill="FFFFFF"/>
          </w:tcPr>
          <w:p>
            <w:r>
              <w:rPr>
                <w:sz w:val="18"/>
              </w:rPr>
              <w:t>3%</w:t>
            </w:r>
          </w:p>
        </w:tc>
        <w:tc>
          <w:tcPr>
            <w:tcW w:type="dxa" w:w="1296"/>
            <w:shd w:val="clear" w:color="auto" w:fill="FFFFFF"/>
          </w:tcPr>
          <w:p>
            <w:r>
              <w:rPr>
                <w:sz w:val="18"/>
              </w:rPr>
              <w:t>$103.4</w:t>
            </w:r>
          </w:p>
        </w:tc>
      </w:tr>
      <w:tr>
        <w:tc>
          <w:tcPr>
            <w:tcW w:type="dxa" w:w="1296"/>
            <w:shd w:val="clear" w:color="auto" w:fill="EBF3FB"/>
          </w:tcPr>
          <w:p>
            <w:r>
              <w:rPr>
                <w:sz w:val="18"/>
              </w:rPr>
              <w:t>Bull</w:t>
            </w:r>
          </w:p>
        </w:tc>
        <w:tc>
          <w:tcPr>
            <w:tcW w:type="dxa" w:w="1296"/>
            <w:shd w:val="clear" w:color="auto" w:fill="EBF3FB"/>
          </w:tcPr>
          <w:p>
            <w:r>
              <w:rPr>
                <w:sz w:val="18"/>
              </w:rPr>
              <w:t>20%</w:t>
            </w:r>
          </w:p>
        </w:tc>
        <w:tc>
          <w:tcPr>
            <w:tcW w:type="dxa" w:w="1296"/>
            <w:shd w:val="clear" w:color="auto" w:fill="EBF3FB"/>
          </w:tcPr>
          <w:p>
            <w:r>
              <w:rPr>
                <w:sz w:val="18"/>
              </w:rPr>
              <w:t>10%</w:t>
            </w:r>
          </w:p>
        </w:tc>
        <w:tc>
          <w:tcPr>
            <w:tcW w:type="dxa" w:w="1296"/>
            <w:shd w:val="clear" w:color="auto" w:fill="EBF3FB"/>
          </w:tcPr>
          <w:p>
            <w:r>
              <w:rPr>
                <w:sz w:val="18"/>
              </w:rPr>
              <w:t>15%</w:t>
            </w:r>
          </w:p>
        </w:tc>
        <w:tc>
          <w:tcPr>
            <w:tcW w:type="dxa" w:w="1296"/>
            <w:shd w:val="clear" w:color="auto" w:fill="EBF3FB"/>
          </w:tcPr>
          <w:p>
            <w:r>
              <w:rPr>
                <w:sz w:val="18"/>
              </w:rPr>
              <w:t>10%</w:t>
            </w:r>
          </w:p>
        </w:tc>
        <w:tc>
          <w:tcPr>
            <w:tcW w:type="dxa" w:w="1296"/>
            <w:shd w:val="clear" w:color="auto" w:fill="EBF3FB"/>
          </w:tcPr>
          <w:p>
            <w:r>
              <w:rPr>
                <w:sz w:val="18"/>
              </w:rPr>
              <w:t>3.5%</w:t>
            </w:r>
          </w:p>
        </w:tc>
        <w:tc>
          <w:tcPr>
            <w:tcW w:type="dxa" w:w="1296"/>
            <w:shd w:val="clear" w:color="auto" w:fill="EBF3FB"/>
          </w:tcPr>
          <w:p>
            <w:r>
              <w:rPr>
                <w:sz w:val="18"/>
              </w:rPr>
              <w:t>$187.2</w:t>
            </w:r>
          </w:p>
        </w:tc>
      </w:tr>
      <w:tr>
        <w:tc>
          <w:tcPr>
            <w:tcW w:type="dxa" w:w="1296"/>
            <w:shd w:val="clear" w:color="auto" w:fill="FFFFFF"/>
          </w:tcPr>
          <w:p>
            <w:r>
              <w:rPr>
                <w:sz w:val="18"/>
              </w:rPr>
              <w:t>Probability-Weighted</w:t>
            </w:r>
          </w:p>
        </w:tc>
        <w:tc>
          <w:tcPr>
            <w:tcW w:type="dxa" w:w="1296"/>
            <w:shd w:val="clear" w:color="auto" w:fill="FFFFFF"/>
          </w:tcPr>
          <w:p>
            <w:r>
              <w:rPr>
                <w:sz w:val="18"/>
              </w:rPr>
              <w:t>100%</w:t>
            </w:r>
          </w:p>
        </w:tc>
        <w:tc>
          <w:tcPr>
            <w:tcW w:type="dxa" w:w="1296"/>
            <w:shd w:val="clear" w:color="auto" w:fill="FFFFFF"/>
          </w:tcPr>
          <w:p>
            <w:r>
              <w:rPr>
                <w:sz w:val="18"/>
              </w:rPr>
              <w:t>—</w:t>
            </w:r>
          </w:p>
        </w:tc>
        <w:tc>
          <w:tcPr>
            <w:tcW w:type="dxa" w:w="1296"/>
            <w:shd w:val="clear" w:color="auto" w:fill="FFFFFF"/>
          </w:tcPr>
          <w:p>
            <w:r>
              <w:rPr>
                <w:sz w:val="18"/>
              </w:rPr>
              <w:t>—</w:t>
            </w:r>
          </w:p>
        </w:tc>
        <w:tc>
          <w:tcPr>
            <w:tcW w:type="dxa" w:w="1296"/>
            <w:shd w:val="clear" w:color="auto" w:fill="FFFFFF"/>
          </w:tcPr>
          <w:p>
            <w:r>
              <w:rPr>
                <w:sz w:val="18"/>
              </w:rPr>
              <w:t>—</w:t>
            </w:r>
          </w:p>
        </w:tc>
        <w:tc>
          <w:tcPr>
            <w:tcW w:type="dxa" w:w="1296"/>
            <w:shd w:val="clear" w:color="auto" w:fill="FFFFFF"/>
          </w:tcPr>
          <w:p>
            <w:r>
              <w:rPr>
                <w:sz w:val="18"/>
              </w:rPr>
              <w:t>—</w:t>
            </w:r>
          </w:p>
        </w:tc>
        <w:tc>
          <w:tcPr>
            <w:tcW w:type="dxa" w:w="1296"/>
            <w:shd w:val="clear" w:color="auto" w:fill="FFFFFF"/>
          </w:tcPr>
          <w:p>
            <w:r>
              <w:rPr>
                <w:sz w:val="18"/>
              </w:rPr>
              <w:t>~$105</w:t>
            </w:r>
          </w:p>
        </w:tc>
      </w:tr>
    </w:tbl>
    <w:p/>
    <w:p>
      <w:pPr>
        <w:pStyle w:val="Heading2"/>
        <w:jc w:val="left"/>
      </w:pPr>
      <w:r>
        <w:rPr>
          <w:color w:val="1F4E79"/>
        </w:rPr>
        <w:t>Safety Margin &amp; Operating Rules</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sz w:val="18"/>
              </w:rPr>
              <w:t>Item</w:t>
            </w:r>
          </w:p>
        </w:tc>
        <w:tc>
          <w:tcPr>
            <w:tcW w:type="dxa" w:w="4536"/>
            <w:shd w:val="clear" w:color="auto" w:fill="1F4E79"/>
          </w:tcPr>
          <w:p>
            <w:r>
              <w:rPr>
                <w:b/>
                <w:color w:val="FFFFFF"/>
                <w:sz w:val="18"/>
              </w:rPr>
              <w:t>Value</w:t>
            </w:r>
          </w:p>
        </w:tc>
      </w:tr>
      <w:tr>
        <w:tc>
          <w:tcPr>
            <w:tcW w:type="dxa" w:w="4536"/>
            <w:shd w:val="clear" w:color="auto" w:fill="EBF3FB"/>
          </w:tcPr>
          <w:p>
            <w:r>
              <w:rPr>
                <w:sz w:val="18"/>
              </w:rPr>
              <w:t>Base Case Intrinsic Value</w:t>
            </w:r>
          </w:p>
        </w:tc>
        <w:tc>
          <w:tcPr>
            <w:tcW w:type="dxa" w:w="4536"/>
            <w:shd w:val="clear" w:color="auto" w:fill="EBF3FB"/>
          </w:tcPr>
          <w:p>
            <w:r>
              <w:rPr>
                <w:sz w:val="18"/>
              </w:rPr>
              <w:t>$103.4 / ADS</w:t>
            </w:r>
          </w:p>
        </w:tc>
      </w:tr>
      <w:tr>
        <w:tc>
          <w:tcPr>
            <w:tcW w:type="dxa" w:w="4536"/>
            <w:shd w:val="clear" w:color="auto" w:fill="FFFFFF"/>
          </w:tcPr>
          <w:p>
            <w:r>
              <w:rPr>
                <w:sz w:val="18"/>
              </w:rPr>
              <w:t>Graham 30% Margin Buy Price</w:t>
            </w:r>
          </w:p>
        </w:tc>
        <w:tc>
          <w:tcPr>
            <w:tcW w:type="dxa" w:w="4536"/>
            <w:shd w:val="clear" w:color="auto" w:fill="FFFFFF"/>
          </w:tcPr>
          <w:p>
            <w:r>
              <w:rPr>
                <w:sz w:val="18"/>
              </w:rPr>
              <w:t>$103.4 × 0.70 = $72.4 / ADS</w:t>
            </w:r>
          </w:p>
        </w:tc>
      </w:tr>
      <w:tr>
        <w:tc>
          <w:tcPr>
            <w:tcW w:type="dxa" w:w="4536"/>
            <w:shd w:val="clear" w:color="auto" w:fill="EBF3FB"/>
          </w:tcPr>
          <w:p>
            <w:r>
              <w:rPr>
                <w:sz w:val="18"/>
              </w:rPr>
              <w:t>Current Price</w:t>
            </w:r>
          </w:p>
        </w:tc>
        <w:tc>
          <w:tcPr>
            <w:tcW w:type="dxa" w:w="4536"/>
            <w:shd w:val="clear" w:color="auto" w:fill="EBF3FB"/>
          </w:tcPr>
          <w:p>
            <w:r>
              <w:rPr>
                <w:sz w:val="18"/>
              </w:rPr>
              <w:t>$111 / ADS</w:t>
            </w:r>
          </w:p>
        </w:tc>
      </w:tr>
      <w:tr>
        <w:tc>
          <w:tcPr>
            <w:tcW w:type="dxa" w:w="4536"/>
            <w:shd w:val="clear" w:color="auto" w:fill="FFFFFF"/>
          </w:tcPr>
          <w:p>
            <w:r>
              <w:rPr>
                <w:sz w:val="18"/>
              </w:rPr>
              <w:t>Premium to Base Case</w:t>
            </w:r>
          </w:p>
        </w:tc>
        <w:tc>
          <w:tcPr>
            <w:tcW w:type="dxa" w:w="4536"/>
            <w:shd w:val="clear" w:color="auto" w:fill="FFFFFF"/>
          </w:tcPr>
          <w:p>
            <w:r>
              <w:rPr>
                <w:sz w:val="18"/>
              </w:rPr>
              <w:t>+7.4% (does NOT meet Graham threshold)</w:t>
            </w:r>
          </w:p>
        </w:tc>
      </w:tr>
      <w:tr>
        <w:tc>
          <w:tcPr>
            <w:tcW w:type="dxa" w:w="4536"/>
            <w:shd w:val="clear" w:color="auto" w:fill="EBF3FB"/>
          </w:tcPr>
          <w:p>
            <w:r>
              <w:rPr>
                <w:sz w:val="18"/>
              </w:rPr>
              <w:t>Probability-Weighted Fair Value</w:t>
            </w:r>
          </w:p>
        </w:tc>
        <w:tc>
          <w:tcPr>
            <w:tcW w:type="dxa" w:w="4536"/>
            <w:shd w:val="clear" w:color="auto" w:fill="EBF3FB"/>
          </w:tcPr>
          <w:p>
            <w:r>
              <w:rPr>
                <w:sz w:val="18"/>
              </w:rPr>
              <w:t>~$105 (stock ~6% above)</w:t>
            </w:r>
          </w:p>
        </w:tc>
      </w:tr>
      <w:tr>
        <w:tc>
          <w:tcPr>
            <w:tcW w:type="dxa" w:w="4536"/>
            <w:shd w:val="clear" w:color="auto" w:fill="FFFFFF"/>
          </w:tcPr>
          <w:p>
            <w:r>
              <w:rPr>
                <w:sz w:val="18"/>
              </w:rPr>
              <w:t>Verdict</w:t>
            </w:r>
          </w:p>
        </w:tc>
        <w:tc>
          <w:tcPr>
            <w:tcW w:type="dxa" w:w="4536"/>
            <w:shd w:val="clear" w:color="auto" w:fill="FFFFFF"/>
          </w:tcPr>
          <w:p>
            <w:r>
              <w:rPr>
                <w:sz w:val="18"/>
              </w:rPr>
              <w:t>FAIRLY VALUED on base case; compelling for bull-case believers</w:t>
            </w:r>
          </w:p>
        </w:tc>
      </w:tr>
    </w:tbl>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sz w:val="18"/>
              </w:rPr>
              <w:t>Action</w:t>
            </w:r>
          </w:p>
        </w:tc>
        <w:tc>
          <w:tcPr>
            <w:tcW w:type="dxa" w:w="4536"/>
            <w:shd w:val="clear" w:color="auto" w:fill="1F4E79"/>
          </w:tcPr>
          <w:p>
            <w:r>
              <w:rPr>
                <w:b/>
                <w:color w:val="FFFFFF"/>
                <w:sz w:val="18"/>
              </w:rPr>
              <w:t>Trigger / Price Level</w:t>
            </w:r>
          </w:p>
        </w:tc>
      </w:tr>
      <w:tr>
        <w:tc>
          <w:tcPr>
            <w:tcW w:type="dxa" w:w="4536"/>
            <w:shd w:val="clear" w:color="auto" w:fill="EBF3FB"/>
          </w:tcPr>
          <w:p>
            <w:r>
              <w:rPr>
                <w:sz w:val="18"/>
              </w:rPr>
              <w:t>Strong Buy / Build Position</w:t>
            </w:r>
          </w:p>
        </w:tc>
        <w:tc>
          <w:tcPr>
            <w:tcW w:type="dxa" w:w="4536"/>
            <w:shd w:val="clear" w:color="auto" w:fill="EBF3FB"/>
          </w:tcPr>
          <w:p>
            <w:r>
              <w:rPr>
                <w:sz w:val="18"/>
              </w:rPr>
              <w:t>≤ $72 (Graham threshold met)</w:t>
            </w:r>
          </w:p>
        </w:tc>
      </w:tr>
      <w:tr>
        <w:tc>
          <w:tcPr>
            <w:tcW w:type="dxa" w:w="4536"/>
            <w:shd w:val="clear" w:color="auto" w:fill="FFFFFF"/>
          </w:tcPr>
          <w:p>
            <w:r>
              <w:rPr>
                <w:sz w:val="18"/>
              </w:rPr>
              <w:t>Opportunistic Add</w:t>
            </w:r>
          </w:p>
        </w:tc>
        <w:tc>
          <w:tcPr>
            <w:tcW w:type="dxa" w:w="4536"/>
            <w:shd w:val="clear" w:color="auto" w:fill="FFFFFF"/>
          </w:tcPr>
          <w:p>
            <w:r>
              <w:rPr>
                <w:sz w:val="18"/>
              </w:rPr>
              <w:t>$75–$90 (near base intrinsic)</w:t>
            </w:r>
          </w:p>
        </w:tc>
      </w:tr>
      <w:tr>
        <w:tc>
          <w:tcPr>
            <w:tcW w:type="dxa" w:w="4536"/>
            <w:shd w:val="clear" w:color="auto" w:fill="EBF3FB"/>
          </w:tcPr>
          <w:p>
            <w:r>
              <w:rPr>
                <w:sz w:val="18"/>
              </w:rPr>
              <w:t>Hold / Monitor</w:t>
            </w:r>
          </w:p>
        </w:tc>
        <w:tc>
          <w:tcPr>
            <w:tcW w:type="dxa" w:w="4536"/>
            <w:shd w:val="clear" w:color="auto" w:fill="EBF3FB"/>
          </w:tcPr>
          <w:p>
            <w:r>
              <w:rPr>
                <w:sz w:val="18"/>
              </w:rPr>
              <w:t>$90–$120 ← CURRENT ZONE</w:t>
            </w:r>
          </w:p>
        </w:tc>
      </w:tr>
      <w:tr>
        <w:tc>
          <w:tcPr>
            <w:tcW w:type="dxa" w:w="4536"/>
            <w:shd w:val="clear" w:color="auto" w:fill="FFFFFF"/>
          </w:tcPr>
          <w:p>
            <w:r>
              <w:rPr>
                <w:sz w:val="18"/>
              </w:rPr>
              <w:t>Trim / Take Profits</w:t>
            </w:r>
          </w:p>
        </w:tc>
        <w:tc>
          <w:tcPr>
            <w:tcW w:type="dxa" w:w="4536"/>
            <w:shd w:val="clear" w:color="auto" w:fill="FFFFFF"/>
          </w:tcPr>
          <w:p>
            <w:r>
              <w:rPr>
                <w:sz w:val="18"/>
              </w:rPr>
              <w:t>$150–$165 (approaching bull case)</w:t>
            </w:r>
          </w:p>
        </w:tc>
      </w:tr>
      <w:tr>
        <w:tc>
          <w:tcPr>
            <w:tcW w:type="dxa" w:w="4536"/>
            <w:shd w:val="clear" w:color="auto" w:fill="EBF3FB"/>
          </w:tcPr>
          <w:p>
            <w:r>
              <w:rPr>
                <w:sz w:val="18"/>
              </w:rPr>
              <w:t>Full Exit</w:t>
            </w:r>
          </w:p>
        </w:tc>
        <w:tc>
          <w:tcPr>
            <w:tcW w:type="dxa" w:w="4536"/>
            <w:shd w:val="clear" w:color="auto" w:fill="EBF3FB"/>
          </w:tcPr>
          <w:p>
            <w:r>
              <w:rPr>
                <w:sz w:val="18"/>
              </w:rPr>
              <w:t>&gt; $185 (exceeds bull case)</w:t>
            </w:r>
          </w:p>
        </w:tc>
      </w:tr>
      <w:tr>
        <w:tc>
          <w:tcPr>
            <w:tcW w:type="dxa" w:w="4536"/>
            <w:shd w:val="clear" w:color="auto" w:fill="FFFFFF"/>
          </w:tcPr>
          <w:p>
            <w:r>
              <w:rPr>
                <w:sz w:val="18"/>
              </w:rPr>
              <w:t>Thesis-Break Exit</w:t>
            </w:r>
          </w:p>
        </w:tc>
        <w:tc>
          <w:tcPr>
            <w:tcW w:type="dxa" w:w="4536"/>
            <w:shd w:val="clear" w:color="auto" w:fill="FFFFFF"/>
          </w:tcPr>
          <w:p>
            <w:r>
              <w:rPr>
                <w:sz w:val="18"/>
              </w:rPr>
              <w:t>FCF negative 2+ years ex-investment / Search &lt;40% share / VIE unwound</w:t>
            </w:r>
          </w:p>
        </w:tc>
      </w:tr>
    </w:tbl>
    <w:p>
      <w:r>
        <w:br w:type="page"/>
      </w:r>
    </w:p>
    <w:p>
      <w:pPr>
        <w:pStyle w:val="Heading1"/>
        <w:jc w:val="left"/>
      </w:pPr>
      <w:r>
        <w:rPr>
          <w:color w:val="1F4E79"/>
        </w:rPr>
        <w:t>PART III — TRADING IDEAS / EQUITY RESEARCH</w:t>
      </w:r>
    </w:p>
    <w:p>
      <w:pPr>
        <w:pStyle w:val="Heading2"/>
        <w:jc w:val="left"/>
      </w:pPr>
      <w:r>
        <w:rPr>
          <w:color w:val="1F4E79"/>
        </w:rPr>
        <w:t>Executive Summary</w:t>
      </w:r>
    </w:p>
    <w:p>
      <w:r>
        <w:rPr>
          <w:b w:val="0"/>
          <w:sz w:val="20"/>
        </w:rPr>
        <w:t>HOLD/ACCUMULATE ON WEAKNESS with $135 price target (+22% from $111) over 12–18 months. Baidu is a classic 'show me' story — the AI pivot is real but monetization lags investment. The current price ($111) is ~7% above DCF base case but 40% below the bull case; meaningful upside only materializes if ERNIE subscription growth sustains +100%+ pace AND Apollo Go reaches profitability. Risk/reward: ~2:1 (bear $66.5 = -40% downside, 12-month target $135 = +22%).</w:t>
      </w:r>
    </w:p>
    <w:p/>
    <w:p>
      <w:pPr>
        <w:pStyle w:val="Heading2"/>
        <w:jc w:val="left"/>
      </w:pPr>
      <w:r>
        <w:rPr>
          <w:color w:val="1F4E79"/>
        </w:rPr>
        <w:t>Peer Comparison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Pr>
                <w:b/>
                <w:color w:val="FFFFFF"/>
                <w:sz w:val="18"/>
              </w:rPr>
              <w:t>Metric</w:t>
            </w:r>
          </w:p>
        </w:tc>
        <w:tc>
          <w:tcPr>
            <w:tcW w:type="dxa" w:w="1814"/>
            <w:shd w:val="clear" w:color="auto" w:fill="1F4E79"/>
          </w:tcPr>
          <w:p>
            <w:r>
              <w:rPr>
                <w:b/>
                <w:color w:val="FFFFFF"/>
                <w:sz w:val="18"/>
              </w:rPr>
              <w:t>BIDU</w:t>
            </w:r>
          </w:p>
        </w:tc>
        <w:tc>
          <w:tcPr>
            <w:tcW w:type="dxa" w:w="1814"/>
            <w:shd w:val="clear" w:color="auto" w:fill="1F4E79"/>
          </w:tcPr>
          <w:p>
            <w:r>
              <w:rPr>
                <w:b/>
                <w:color w:val="FFFFFF"/>
                <w:sz w:val="18"/>
              </w:rPr>
              <w:t>Alibaba (BABA)</w:t>
            </w:r>
          </w:p>
        </w:tc>
        <w:tc>
          <w:tcPr>
            <w:tcW w:type="dxa" w:w="1814"/>
            <w:shd w:val="clear" w:color="auto" w:fill="1F4E79"/>
          </w:tcPr>
          <w:p>
            <w:r>
              <w:rPr>
                <w:b/>
                <w:color w:val="FFFFFF"/>
                <w:sz w:val="18"/>
              </w:rPr>
              <w:t>Tencent (0700.HK)</w:t>
            </w:r>
          </w:p>
        </w:tc>
        <w:tc>
          <w:tcPr>
            <w:tcW w:type="dxa" w:w="1814"/>
            <w:shd w:val="clear" w:color="auto" w:fill="1F4E79"/>
          </w:tcPr>
          <w:p>
            <w:r>
              <w:rPr>
                <w:b/>
                <w:color w:val="FFFFFF"/>
                <w:sz w:val="18"/>
              </w:rPr>
              <w:t>Alphabet (GOOGL)</w:t>
            </w:r>
          </w:p>
        </w:tc>
      </w:tr>
      <w:tr>
        <w:tc>
          <w:tcPr>
            <w:tcW w:type="dxa" w:w="1814"/>
            <w:shd w:val="clear" w:color="auto" w:fill="EBF3FB"/>
          </w:tcPr>
          <w:p>
            <w:r>
              <w:rPr>
                <w:sz w:val="18"/>
              </w:rPr>
              <w:t>Price (Apr 2026)</w:t>
            </w:r>
          </w:p>
        </w:tc>
        <w:tc>
          <w:tcPr>
            <w:tcW w:type="dxa" w:w="1814"/>
            <w:shd w:val="clear" w:color="auto" w:fill="EBF3FB"/>
          </w:tcPr>
          <w:p>
            <w:r>
              <w:rPr>
                <w:sz w:val="18"/>
              </w:rPr>
              <w:t>$111</w:t>
            </w:r>
          </w:p>
        </w:tc>
        <w:tc>
          <w:tcPr>
            <w:tcW w:type="dxa" w:w="1814"/>
            <w:shd w:val="clear" w:color="auto" w:fill="EBF3FB"/>
          </w:tcPr>
          <w:p>
            <w:r>
              <w:rPr>
                <w:sz w:val="18"/>
              </w:rPr>
              <w:t>~$130</w:t>
            </w:r>
          </w:p>
        </w:tc>
        <w:tc>
          <w:tcPr>
            <w:tcW w:type="dxa" w:w="1814"/>
            <w:shd w:val="clear" w:color="auto" w:fill="EBF3FB"/>
          </w:tcPr>
          <w:p>
            <w:r>
              <w:rPr>
                <w:sz w:val="18"/>
              </w:rPr>
              <w:t>~HK$480</w:t>
            </w:r>
          </w:p>
        </w:tc>
        <w:tc>
          <w:tcPr>
            <w:tcW w:type="dxa" w:w="1814"/>
            <w:shd w:val="clear" w:color="auto" w:fill="EBF3FB"/>
          </w:tcPr>
          <w:p>
            <w:r>
              <w:rPr>
                <w:sz w:val="18"/>
              </w:rPr>
              <w:t>~$175</w:t>
            </w:r>
          </w:p>
        </w:tc>
      </w:tr>
      <w:tr>
        <w:tc>
          <w:tcPr>
            <w:tcW w:type="dxa" w:w="1814"/>
            <w:shd w:val="clear" w:color="auto" w:fill="FFFFFF"/>
          </w:tcPr>
          <w:p>
            <w:r>
              <w:rPr>
                <w:sz w:val="18"/>
              </w:rPr>
              <w:t>P/E (FY2025 GAAP)</w:t>
            </w:r>
          </w:p>
        </w:tc>
        <w:tc>
          <w:tcPr>
            <w:tcW w:type="dxa" w:w="1814"/>
            <w:shd w:val="clear" w:color="auto" w:fill="FFFFFF"/>
          </w:tcPr>
          <w:p>
            <w:r>
              <w:rPr>
                <w:sz w:val="18"/>
              </w:rPr>
              <w:t>~47x*</w:t>
            </w:r>
          </w:p>
        </w:tc>
        <w:tc>
          <w:tcPr>
            <w:tcW w:type="dxa" w:w="1814"/>
            <w:shd w:val="clear" w:color="auto" w:fill="FFFFFF"/>
          </w:tcPr>
          <w:p>
            <w:r>
              <w:rPr>
                <w:sz w:val="18"/>
              </w:rPr>
              <w:t>~18x</w:t>
            </w:r>
          </w:p>
        </w:tc>
        <w:tc>
          <w:tcPr>
            <w:tcW w:type="dxa" w:w="1814"/>
            <w:shd w:val="clear" w:color="auto" w:fill="FFFFFF"/>
          </w:tcPr>
          <w:p>
            <w:r>
              <w:rPr>
                <w:sz w:val="18"/>
              </w:rPr>
              <w:t>~22x</w:t>
            </w:r>
          </w:p>
        </w:tc>
        <w:tc>
          <w:tcPr>
            <w:tcW w:type="dxa" w:w="1814"/>
            <w:shd w:val="clear" w:color="auto" w:fill="FFFFFF"/>
          </w:tcPr>
          <w:p>
            <w:r>
              <w:rPr>
                <w:sz w:val="18"/>
              </w:rPr>
              <w:t>~22x</w:t>
            </w:r>
          </w:p>
        </w:tc>
      </w:tr>
      <w:tr>
        <w:tc>
          <w:tcPr>
            <w:tcW w:type="dxa" w:w="1814"/>
            <w:shd w:val="clear" w:color="auto" w:fill="EBF3FB"/>
          </w:tcPr>
          <w:p>
            <w:r>
              <w:rPr>
                <w:sz w:val="18"/>
              </w:rPr>
              <w:t>P/E (normalized)</w:t>
            </w:r>
          </w:p>
        </w:tc>
        <w:tc>
          <w:tcPr>
            <w:tcW w:type="dxa" w:w="1814"/>
            <w:shd w:val="clear" w:color="auto" w:fill="EBF3FB"/>
          </w:tcPr>
          <w:p>
            <w:r>
              <w:rPr>
                <w:sz w:val="18"/>
              </w:rPr>
              <w:t>~11x</w:t>
            </w:r>
          </w:p>
        </w:tc>
        <w:tc>
          <w:tcPr>
            <w:tcW w:type="dxa" w:w="1814"/>
            <w:shd w:val="clear" w:color="auto" w:fill="EBF3FB"/>
          </w:tcPr>
          <w:p>
            <w:r>
              <w:rPr>
                <w:sz w:val="18"/>
              </w:rPr>
              <w:t>~15x</w:t>
            </w:r>
          </w:p>
        </w:tc>
        <w:tc>
          <w:tcPr>
            <w:tcW w:type="dxa" w:w="1814"/>
            <w:shd w:val="clear" w:color="auto" w:fill="EBF3FB"/>
          </w:tcPr>
          <w:p>
            <w:r>
              <w:rPr>
                <w:sz w:val="18"/>
              </w:rPr>
              <w:t>~20x</w:t>
            </w:r>
          </w:p>
        </w:tc>
        <w:tc>
          <w:tcPr>
            <w:tcW w:type="dxa" w:w="1814"/>
            <w:shd w:val="clear" w:color="auto" w:fill="EBF3FB"/>
          </w:tcPr>
          <w:p>
            <w:r>
              <w:rPr>
                <w:sz w:val="18"/>
              </w:rPr>
              <w:t>~22x</w:t>
            </w:r>
          </w:p>
        </w:tc>
      </w:tr>
      <w:tr>
        <w:tc>
          <w:tcPr>
            <w:tcW w:type="dxa" w:w="1814"/>
            <w:shd w:val="clear" w:color="auto" w:fill="FFFFFF"/>
          </w:tcPr>
          <w:p>
            <w:r>
              <w:rPr>
                <w:sz w:val="18"/>
              </w:rPr>
              <w:t>P/Book</w:t>
            </w:r>
          </w:p>
        </w:tc>
        <w:tc>
          <w:tcPr>
            <w:tcW w:type="dxa" w:w="1814"/>
            <w:shd w:val="clear" w:color="auto" w:fill="FFFFFF"/>
          </w:tcPr>
          <w:p>
            <w:r>
              <w:rPr>
                <w:sz w:val="18"/>
              </w:rPr>
              <w:t>0.93x</w:t>
            </w:r>
          </w:p>
        </w:tc>
        <w:tc>
          <w:tcPr>
            <w:tcW w:type="dxa" w:w="1814"/>
            <w:shd w:val="clear" w:color="auto" w:fill="FFFFFF"/>
          </w:tcPr>
          <w:p>
            <w:r>
              <w:rPr>
                <w:sz w:val="18"/>
              </w:rPr>
              <w:t>~1.8x</w:t>
            </w:r>
          </w:p>
        </w:tc>
        <w:tc>
          <w:tcPr>
            <w:tcW w:type="dxa" w:w="1814"/>
            <w:shd w:val="clear" w:color="auto" w:fill="FFFFFF"/>
          </w:tcPr>
          <w:p>
            <w:r>
              <w:rPr>
                <w:sz w:val="18"/>
              </w:rPr>
              <w:t>~4x</w:t>
            </w:r>
          </w:p>
        </w:tc>
        <w:tc>
          <w:tcPr>
            <w:tcW w:type="dxa" w:w="1814"/>
            <w:shd w:val="clear" w:color="auto" w:fill="FFFFFF"/>
          </w:tcPr>
          <w:p>
            <w:r>
              <w:rPr>
                <w:sz w:val="18"/>
              </w:rPr>
              <w:t>~6x</w:t>
            </w:r>
          </w:p>
        </w:tc>
      </w:tr>
      <w:tr>
        <w:tc>
          <w:tcPr>
            <w:tcW w:type="dxa" w:w="1814"/>
            <w:shd w:val="clear" w:color="auto" w:fill="EBF3FB"/>
          </w:tcPr>
          <w:p>
            <w:r>
              <w:rPr>
                <w:sz w:val="18"/>
              </w:rPr>
              <w:t>Revenue Growth</w:t>
            </w:r>
          </w:p>
        </w:tc>
        <w:tc>
          <w:tcPr>
            <w:tcW w:type="dxa" w:w="1814"/>
            <w:shd w:val="clear" w:color="auto" w:fill="EBF3FB"/>
          </w:tcPr>
          <w:p>
            <w:r>
              <w:rPr>
                <w:sz w:val="18"/>
              </w:rPr>
              <w:t>-3%</w:t>
            </w:r>
          </w:p>
        </w:tc>
        <w:tc>
          <w:tcPr>
            <w:tcW w:type="dxa" w:w="1814"/>
            <w:shd w:val="clear" w:color="auto" w:fill="EBF3FB"/>
          </w:tcPr>
          <w:p>
            <w:r>
              <w:rPr>
                <w:sz w:val="18"/>
              </w:rPr>
              <w:t>+6%</w:t>
            </w:r>
          </w:p>
        </w:tc>
        <w:tc>
          <w:tcPr>
            <w:tcW w:type="dxa" w:w="1814"/>
            <w:shd w:val="clear" w:color="auto" w:fill="EBF3FB"/>
          </w:tcPr>
          <w:p>
            <w:r>
              <w:rPr>
                <w:sz w:val="18"/>
              </w:rPr>
              <w:t>+8%</w:t>
            </w:r>
          </w:p>
        </w:tc>
        <w:tc>
          <w:tcPr>
            <w:tcW w:type="dxa" w:w="1814"/>
            <w:shd w:val="clear" w:color="auto" w:fill="EBF3FB"/>
          </w:tcPr>
          <w:p>
            <w:r>
              <w:rPr>
                <w:sz w:val="18"/>
              </w:rPr>
              <w:t>+12%</w:t>
            </w:r>
          </w:p>
        </w:tc>
      </w:tr>
      <w:tr>
        <w:tc>
          <w:tcPr>
            <w:tcW w:type="dxa" w:w="1814"/>
            <w:shd w:val="clear" w:color="auto" w:fill="FFFFFF"/>
          </w:tcPr>
          <w:p>
            <w:r>
              <w:rPr>
                <w:sz w:val="18"/>
              </w:rPr>
              <w:t>AI Cloud Growth</w:t>
            </w:r>
          </w:p>
        </w:tc>
        <w:tc>
          <w:tcPr>
            <w:tcW w:type="dxa" w:w="1814"/>
            <w:shd w:val="clear" w:color="auto" w:fill="FFFFFF"/>
          </w:tcPr>
          <w:p>
            <w:r>
              <w:rPr>
                <w:sz w:val="18"/>
              </w:rPr>
              <w:t>+33%</w:t>
            </w:r>
          </w:p>
        </w:tc>
        <w:tc>
          <w:tcPr>
            <w:tcW w:type="dxa" w:w="1814"/>
            <w:shd w:val="clear" w:color="auto" w:fill="FFFFFF"/>
          </w:tcPr>
          <w:p>
            <w:r>
              <w:rPr>
                <w:sz w:val="18"/>
              </w:rPr>
              <w:t>+50%+</w:t>
            </w:r>
          </w:p>
        </w:tc>
        <w:tc>
          <w:tcPr>
            <w:tcW w:type="dxa" w:w="1814"/>
            <w:shd w:val="clear" w:color="auto" w:fill="FFFFFF"/>
          </w:tcPr>
          <w:p>
            <w:r>
              <w:rPr>
                <w:sz w:val="18"/>
              </w:rPr>
              <w:t>~30%</w:t>
            </w:r>
          </w:p>
        </w:tc>
        <w:tc>
          <w:tcPr>
            <w:tcW w:type="dxa" w:w="1814"/>
            <w:shd w:val="clear" w:color="auto" w:fill="FFFFFF"/>
          </w:tcPr>
          <w:p>
            <w:r>
              <w:rPr>
                <w:sz w:val="18"/>
              </w:rPr>
              <w:t>+28%</w:t>
            </w:r>
          </w:p>
        </w:tc>
      </w:tr>
      <w:tr>
        <w:tc>
          <w:tcPr>
            <w:tcW w:type="dxa" w:w="1814"/>
            <w:shd w:val="clear" w:color="auto" w:fill="EBF3FB"/>
          </w:tcPr>
          <w:p>
            <w:r>
              <w:rPr>
                <w:sz w:val="18"/>
              </w:rPr>
              <w:t>Net Cash</w:t>
            </w:r>
          </w:p>
        </w:tc>
        <w:tc>
          <w:tcPr>
            <w:tcW w:type="dxa" w:w="1814"/>
            <w:shd w:val="clear" w:color="auto" w:fill="EBF3FB"/>
          </w:tcPr>
          <w:p>
            <w:r>
              <w:rPr>
                <w:sz w:val="18"/>
              </w:rPr>
              <w:t>$4.9B</w:t>
            </w:r>
          </w:p>
        </w:tc>
        <w:tc>
          <w:tcPr>
            <w:tcW w:type="dxa" w:w="1814"/>
            <w:shd w:val="clear" w:color="auto" w:fill="EBF3FB"/>
          </w:tcPr>
          <w:p>
            <w:r>
              <w:rPr>
                <w:sz w:val="18"/>
              </w:rPr>
              <w:t>$60B+</w:t>
            </w:r>
          </w:p>
        </w:tc>
        <w:tc>
          <w:tcPr>
            <w:tcW w:type="dxa" w:w="1814"/>
            <w:shd w:val="clear" w:color="auto" w:fill="EBF3FB"/>
          </w:tcPr>
          <w:p>
            <w:r>
              <w:rPr>
                <w:sz w:val="18"/>
              </w:rPr>
              <w:t>$30B+</w:t>
            </w:r>
          </w:p>
        </w:tc>
        <w:tc>
          <w:tcPr>
            <w:tcW w:type="dxa" w:w="1814"/>
            <w:shd w:val="clear" w:color="auto" w:fill="EBF3FB"/>
          </w:tcPr>
          <w:p>
            <w:r>
              <w:rPr>
                <w:sz w:val="18"/>
              </w:rPr>
              <w:t>$95B+</w:t>
            </w:r>
          </w:p>
        </w:tc>
      </w:tr>
      <w:tr>
        <w:tc>
          <w:tcPr>
            <w:tcW w:type="dxa" w:w="1814"/>
            <w:shd w:val="clear" w:color="auto" w:fill="FFFFFF"/>
          </w:tcPr>
          <w:p>
            <w:r>
              <w:rPr>
                <w:sz w:val="18"/>
              </w:rPr>
              <w:t>Robotaxi Optionality</w:t>
            </w:r>
          </w:p>
        </w:tc>
        <w:tc>
          <w:tcPr>
            <w:tcW w:type="dxa" w:w="1814"/>
            <w:shd w:val="clear" w:color="auto" w:fill="FFFFFF"/>
          </w:tcPr>
          <w:p>
            <w:r>
              <w:rPr>
                <w:sz w:val="18"/>
              </w:rPr>
              <w:t>✅ Significant (Apollo Go)</w:t>
            </w:r>
          </w:p>
        </w:tc>
        <w:tc>
          <w:tcPr>
            <w:tcW w:type="dxa" w:w="1814"/>
            <w:shd w:val="clear" w:color="auto" w:fill="FFFFFF"/>
          </w:tcPr>
          <w:p>
            <w:r>
              <w:rPr>
                <w:sz w:val="18"/>
              </w:rPr>
              <w:t>❌</w:t>
            </w:r>
          </w:p>
        </w:tc>
        <w:tc>
          <w:tcPr>
            <w:tcW w:type="dxa" w:w="1814"/>
            <w:shd w:val="clear" w:color="auto" w:fill="FFFFFF"/>
          </w:tcPr>
          <w:p>
            <w:r>
              <w:rPr>
                <w:sz w:val="18"/>
              </w:rPr>
              <w:t>❌</w:t>
            </w:r>
          </w:p>
        </w:tc>
        <w:tc>
          <w:tcPr>
            <w:tcW w:type="dxa" w:w="1814"/>
            <w:shd w:val="clear" w:color="auto" w:fill="FFFFFF"/>
          </w:tcPr>
          <w:p>
            <w:r>
              <w:rPr>
                <w:sz w:val="18"/>
              </w:rPr>
              <w:t>✅ (Waymo)</w:t>
            </w:r>
          </w:p>
        </w:tc>
      </w:tr>
    </w:tbl>
    <w:p>
      <w:r>
        <w:rPr>
          <w:b w:val="0"/>
          <w:sz w:val="18"/>
        </w:rPr>
        <w:t>*FY2025 GAAP P/E inflated by one-time investment write-downs. Normalized earnings suggest ~11–13x.</w:t>
      </w:r>
    </w:p>
    <w:p/>
    <w:p>
      <w:pPr>
        <w:pStyle w:val="Heading2"/>
        <w:jc w:val="left"/>
      </w:pPr>
      <w:r>
        <w:rPr>
          <w:color w:val="1F4E79"/>
        </w:rPr>
        <w:t>Catalyst Calendar</w:t>
      </w:r>
    </w:p>
    <w:p>
      <w:pPr>
        <w:pStyle w:val="Heading3"/>
        <w:jc w:val="left"/>
      </w:pPr>
      <w:r>
        <w:rPr>
          <w:color w:val="000000"/>
        </w:rPr>
        <w:t>Near-Term (0–6 months)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Pr>
                <w:b/>
                <w:color w:val="FFFFFF"/>
                <w:sz w:val="18"/>
              </w:rPr>
              <w:t>Date</w:t>
            </w:r>
          </w:p>
        </w:tc>
        <w:tc>
          <w:tcPr>
            <w:tcW w:type="dxa" w:w="3024"/>
            <w:shd w:val="clear" w:color="auto" w:fill="1F4E79"/>
          </w:tcPr>
          <w:p>
            <w:r>
              <w:rPr>
                <w:b/>
                <w:color w:val="FFFFFF"/>
                <w:sz w:val="18"/>
              </w:rPr>
              <w:t>Catalyst</w:t>
            </w:r>
          </w:p>
        </w:tc>
        <w:tc>
          <w:tcPr>
            <w:tcW w:type="dxa" w:w="3024"/>
            <w:shd w:val="clear" w:color="auto" w:fill="1F4E79"/>
          </w:tcPr>
          <w:p>
            <w:r>
              <w:rPr>
                <w:b/>
                <w:color w:val="FFFFFF"/>
                <w:sz w:val="18"/>
              </w:rPr>
              <w:t>Potential Impact</w:t>
            </w:r>
          </w:p>
        </w:tc>
      </w:tr>
      <w:tr>
        <w:tc>
          <w:tcPr>
            <w:tcW w:type="dxa" w:w="3024"/>
            <w:shd w:val="clear" w:color="auto" w:fill="EBF3FB"/>
          </w:tcPr>
          <w:p>
            <w:r>
              <w:rPr>
                <w:sz w:val="18"/>
              </w:rPr>
              <w:t>May 2026</w:t>
            </w:r>
          </w:p>
        </w:tc>
        <w:tc>
          <w:tcPr>
            <w:tcW w:type="dxa" w:w="3024"/>
            <w:shd w:val="clear" w:color="auto" w:fill="EBF3FB"/>
          </w:tcPr>
          <w:p>
            <w:r>
              <w:rPr>
                <w:sz w:val="18"/>
              </w:rPr>
              <w:t>Q1 2026 Earnings — first FCF recovery data post-investment trough</w:t>
            </w:r>
          </w:p>
        </w:tc>
        <w:tc>
          <w:tcPr>
            <w:tcW w:type="dxa" w:w="3024"/>
            <w:shd w:val="clear" w:color="auto" w:fill="EBF3FB"/>
          </w:tcPr>
          <w:p>
            <w:r>
              <w:rPr>
                <w:sz w:val="18"/>
              </w:rPr>
              <w:t>High: ±10–15%</w:t>
            </w:r>
          </w:p>
        </w:tc>
      </w:tr>
      <w:tr>
        <w:tc>
          <w:tcPr>
            <w:tcW w:type="dxa" w:w="3024"/>
            <w:shd w:val="clear" w:color="auto" w:fill="FFFFFF"/>
          </w:tcPr>
          <w:p>
            <w:r>
              <w:rPr>
                <w:sz w:val="18"/>
              </w:rPr>
              <w:t>Q2 2026</w:t>
            </w:r>
          </w:p>
        </w:tc>
        <w:tc>
          <w:tcPr>
            <w:tcW w:type="dxa" w:w="3024"/>
            <w:shd w:val="clear" w:color="auto" w:fill="FFFFFF"/>
          </w:tcPr>
          <w:p>
            <w:r>
              <w:rPr>
                <w:sz w:val="18"/>
              </w:rPr>
              <w:t>Apollo Go profitability milestone — targeted in 2026</w:t>
            </w:r>
          </w:p>
        </w:tc>
        <w:tc>
          <w:tcPr>
            <w:tcW w:type="dxa" w:w="3024"/>
            <w:shd w:val="clear" w:color="auto" w:fill="FFFFFF"/>
          </w:tcPr>
          <w:p>
            <w:r>
              <w:rPr>
                <w:sz w:val="18"/>
              </w:rPr>
              <w:t>High: re-rating trigger</w:t>
            </w:r>
          </w:p>
        </w:tc>
      </w:tr>
      <w:tr>
        <w:tc>
          <w:tcPr>
            <w:tcW w:type="dxa" w:w="3024"/>
            <w:shd w:val="clear" w:color="auto" w:fill="EBF3FB"/>
          </w:tcPr>
          <w:p>
            <w:r>
              <w:rPr>
                <w:sz w:val="18"/>
              </w:rPr>
              <w:t>Mid-2026</w:t>
            </w:r>
          </w:p>
        </w:tc>
        <w:tc>
          <w:tcPr>
            <w:tcW w:type="dxa" w:w="3024"/>
            <w:shd w:val="clear" w:color="auto" w:fill="EBF3FB"/>
          </w:tcPr>
          <w:p>
            <w:r>
              <w:rPr>
                <w:sz w:val="18"/>
              </w:rPr>
              <w:t>Kunlunxin M100 chip commercialization</w:t>
            </w:r>
          </w:p>
        </w:tc>
        <w:tc>
          <w:tcPr>
            <w:tcW w:type="dxa" w:w="3024"/>
            <w:shd w:val="clear" w:color="auto" w:fill="EBF3FB"/>
          </w:tcPr>
          <w:p>
            <w:r>
              <w:rPr>
                <w:sz w:val="18"/>
              </w:rPr>
              <w:t>Medium: new revenue line</w:t>
            </w:r>
          </w:p>
        </w:tc>
      </w:tr>
      <w:tr>
        <w:tc>
          <w:tcPr>
            <w:tcW w:type="dxa" w:w="3024"/>
            <w:shd w:val="clear" w:color="auto" w:fill="FFFFFF"/>
          </w:tcPr>
          <w:p>
            <w:r>
              <w:rPr>
                <w:sz w:val="18"/>
              </w:rPr>
              <w:t>Ongoing</w:t>
            </w:r>
          </w:p>
        </w:tc>
        <w:tc>
          <w:tcPr>
            <w:tcW w:type="dxa" w:w="3024"/>
            <w:shd w:val="clear" w:color="auto" w:fill="FFFFFF"/>
          </w:tcPr>
          <w:p>
            <w:r>
              <w:rPr>
                <w:sz w:val="18"/>
              </w:rPr>
              <w:t>ERNIE subscription ARR growth — watch for sustained +100%+</w:t>
            </w:r>
          </w:p>
        </w:tc>
        <w:tc>
          <w:tcPr>
            <w:tcW w:type="dxa" w:w="3024"/>
            <w:shd w:val="clear" w:color="auto" w:fill="FFFFFF"/>
          </w:tcPr>
          <w:p>
            <w:r>
              <w:rPr>
                <w:sz w:val="18"/>
              </w:rPr>
              <w:t>High</w:t>
            </w:r>
          </w:p>
        </w:tc>
      </w:tr>
    </w:tbl>
    <w:p>
      <w:pPr>
        <w:pStyle w:val="Heading3"/>
        <w:jc w:val="left"/>
      </w:pPr>
      <w:r>
        <w:rPr>
          <w:color w:val="000000"/>
        </w:rPr>
        <w:t>Medium-Term (6–24 months)</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sz w:val="18"/>
              </w:rPr>
              <w:t>Catalyst</w:t>
            </w:r>
          </w:p>
        </w:tc>
        <w:tc>
          <w:tcPr>
            <w:tcW w:type="dxa" w:w="4536"/>
            <w:shd w:val="clear" w:color="auto" w:fill="1F4E79"/>
          </w:tcPr>
          <w:p>
            <w:r>
              <w:rPr>
                <w:b/>
                <w:color w:val="FFFFFF"/>
                <w:sz w:val="18"/>
              </w:rPr>
              <w:t>Expected Impact</w:t>
            </w:r>
          </w:p>
        </w:tc>
      </w:tr>
      <w:tr>
        <w:tc>
          <w:tcPr>
            <w:tcW w:type="dxa" w:w="4536"/>
            <w:shd w:val="clear" w:color="auto" w:fill="EBF3FB"/>
          </w:tcPr>
          <w:p>
            <w:r>
              <w:rPr>
                <w:sz w:val="18"/>
              </w:rPr>
              <w:t>Apollo Go global expansion (post South Korea, potential US/EU pilots)</w:t>
            </w:r>
          </w:p>
        </w:tc>
        <w:tc>
          <w:tcPr>
            <w:tcW w:type="dxa" w:w="4536"/>
            <w:shd w:val="clear" w:color="auto" w:fill="EBF3FB"/>
          </w:tcPr>
          <w:p>
            <w:r>
              <w:rPr>
                <w:sz w:val="18"/>
              </w:rPr>
              <w:t>Major re-rating if proved commercially viable</w:t>
            </w:r>
          </w:p>
        </w:tc>
      </w:tr>
      <w:tr>
        <w:tc>
          <w:tcPr>
            <w:tcW w:type="dxa" w:w="4536"/>
            <w:shd w:val="clear" w:color="auto" w:fill="FFFFFF"/>
          </w:tcPr>
          <w:p>
            <w:r>
              <w:rPr>
                <w:sz w:val="18"/>
              </w:rPr>
              <w:t>Kunlunxin chip spin-off</w:t>
            </w:r>
          </w:p>
        </w:tc>
        <w:tc>
          <w:tcPr>
            <w:tcW w:type="dxa" w:w="4536"/>
            <w:shd w:val="clear" w:color="auto" w:fill="FFFFFF"/>
          </w:tcPr>
          <w:p>
            <w:r>
              <w:rPr>
                <w:sz w:val="18"/>
              </w:rPr>
              <w:t>Estimated $3–5B value unlock / ~$3.5/ADS incremental</w:t>
            </w:r>
          </w:p>
        </w:tc>
      </w:tr>
      <w:tr>
        <w:tc>
          <w:tcPr>
            <w:tcW w:type="dxa" w:w="4536"/>
            <w:shd w:val="clear" w:color="auto" w:fill="EBF3FB"/>
          </w:tcPr>
          <w:p>
            <w:r>
              <w:rPr>
                <w:sz w:val="18"/>
              </w:rPr>
              <w:t>AI Cloud market share recovery (cost moat vs GPT pricing)</w:t>
            </w:r>
          </w:p>
        </w:tc>
        <w:tc>
          <w:tcPr>
            <w:tcW w:type="dxa" w:w="4536"/>
            <w:shd w:val="clear" w:color="auto" w:fill="EBF3FB"/>
          </w:tcPr>
          <w:p>
            <w:r>
              <w:rPr>
                <w:sz w:val="18"/>
              </w:rPr>
              <w:t>Margin improvement + revenue acceleration</w:t>
            </w:r>
          </w:p>
        </w:tc>
      </w:tr>
      <w:tr>
        <w:tc>
          <w:tcPr>
            <w:tcW w:type="dxa" w:w="4536"/>
            <w:shd w:val="clear" w:color="auto" w:fill="FFFFFF"/>
          </w:tcPr>
          <w:p>
            <w:r>
              <w:rPr>
                <w:sz w:val="18"/>
              </w:rPr>
              <w:t>ADR → HK primary listing migration</w:t>
            </w:r>
          </w:p>
        </w:tc>
        <w:tc>
          <w:tcPr>
            <w:tcW w:type="dxa" w:w="4536"/>
            <w:shd w:val="clear" w:color="auto" w:fill="FFFFFF"/>
          </w:tcPr>
          <w:p>
            <w:r>
              <w:rPr>
                <w:sz w:val="18"/>
              </w:rPr>
              <w:t>Multiple expansion as HK/mainland investors reprice</w:t>
            </w:r>
          </w:p>
        </w:tc>
      </w:tr>
      <w:tr>
        <w:tc>
          <w:tcPr>
            <w:tcW w:type="dxa" w:w="4536"/>
            <w:shd w:val="clear" w:color="auto" w:fill="EBF3FB"/>
          </w:tcPr>
          <w:p>
            <w:r>
              <w:rPr>
                <w:sz w:val="18"/>
              </w:rPr>
              <w:t>ERNIE embedded in search (Miaoda, GenFlow, new ad format)</w:t>
            </w:r>
          </w:p>
        </w:tc>
        <w:tc>
          <w:tcPr>
            <w:tcW w:type="dxa" w:w="4536"/>
            <w:shd w:val="clear" w:color="auto" w:fill="EBF3FB"/>
          </w:tcPr>
          <w:p>
            <w:r>
              <w:rPr>
                <w:sz w:val="18"/>
              </w:rPr>
              <w:t>Advertising revenue floor / new monetization stream</w:t>
            </w:r>
          </w:p>
        </w:tc>
      </w:tr>
    </w:tbl>
    <w:p/>
    <w:p>
      <w:pPr>
        <w:pStyle w:val="Heading2"/>
        <w:jc w:val="left"/>
      </w:pPr>
      <w:r>
        <w:rPr>
          <w:color w:val="1F4E79"/>
        </w:rPr>
        <w:t>Valuation &amp; Analyst Price Targets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Source</w:t>
            </w:r>
          </w:p>
        </w:tc>
        <w:tc>
          <w:tcPr>
            <w:tcW w:type="dxa" w:w="2268"/>
            <w:shd w:val="clear" w:color="auto" w:fill="1F4E79"/>
          </w:tcPr>
          <w:p>
            <w:r>
              <w:rPr>
                <w:b/>
                <w:color w:val="FFFFFF"/>
                <w:sz w:val="18"/>
              </w:rPr>
              <w:t>Price Target</w:t>
            </w:r>
          </w:p>
        </w:tc>
        <w:tc>
          <w:tcPr>
            <w:tcW w:type="dxa" w:w="2268"/>
            <w:shd w:val="clear" w:color="auto" w:fill="1F4E79"/>
          </w:tcPr>
          <w:p>
            <w:r>
              <w:rPr>
                <w:b/>
                <w:color w:val="FFFFFF"/>
                <w:sz w:val="18"/>
              </w:rPr>
              <w:t>Rating</w:t>
            </w:r>
          </w:p>
        </w:tc>
        <w:tc>
          <w:tcPr>
            <w:tcW w:type="dxa" w:w="2268"/>
            <w:shd w:val="clear" w:color="auto" w:fill="1F4E79"/>
          </w:tcPr>
          <w:p>
            <w:r>
              <w:rPr>
                <w:b/>
                <w:color w:val="FFFFFF"/>
                <w:sz w:val="18"/>
              </w:rPr>
              <w:t>Upside from $111</w:t>
            </w:r>
          </w:p>
        </w:tc>
      </w:tr>
      <w:tr>
        <w:tc>
          <w:tcPr>
            <w:tcW w:type="dxa" w:w="2268"/>
            <w:shd w:val="clear" w:color="auto" w:fill="EBF3FB"/>
          </w:tcPr>
          <w:p>
            <w:r>
              <w:rPr>
                <w:sz w:val="18"/>
              </w:rPr>
              <w:t>Wall Street consensus (14 analysts avg)</w:t>
            </w:r>
          </w:p>
        </w:tc>
        <w:tc>
          <w:tcPr>
            <w:tcW w:type="dxa" w:w="2268"/>
            <w:shd w:val="clear" w:color="auto" w:fill="EBF3FB"/>
          </w:tcPr>
          <w:p>
            <w:r>
              <w:rPr>
                <w:sz w:val="18"/>
              </w:rPr>
              <w:t>$150–$169</w:t>
            </w:r>
          </w:p>
        </w:tc>
        <w:tc>
          <w:tcPr>
            <w:tcW w:type="dxa" w:w="2268"/>
            <w:shd w:val="clear" w:color="auto" w:fill="EBF3FB"/>
          </w:tcPr>
          <w:p>
            <w:r>
              <w:rPr>
                <w:sz w:val="18"/>
              </w:rPr>
              <w:t>Strong Buy</w:t>
            </w:r>
          </w:p>
        </w:tc>
        <w:tc>
          <w:tcPr>
            <w:tcW w:type="dxa" w:w="2268"/>
            <w:shd w:val="clear" w:color="auto" w:fill="EBF3FB"/>
          </w:tcPr>
          <w:p>
            <w:r>
              <w:rPr>
                <w:sz w:val="18"/>
              </w:rPr>
              <w:t>+35–52%</w:t>
            </w:r>
          </w:p>
        </w:tc>
      </w:tr>
      <w:tr>
        <w:tc>
          <w:tcPr>
            <w:tcW w:type="dxa" w:w="2268"/>
            <w:shd w:val="clear" w:color="auto" w:fill="FFFFFF"/>
          </w:tcPr>
          <w:p>
            <w:r>
              <w:rPr>
                <w:sz w:val="18"/>
              </w:rPr>
              <w:t>WallStreetZen model</w:t>
            </w:r>
          </w:p>
        </w:tc>
        <w:tc>
          <w:tcPr>
            <w:tcW w:type="dxa" w:w="2268"/>
            <w:shd w:val="clear" w:color="auto" w:fill="FFFFFF"/>
          </w:tcPr>
          <w:p>
            <w:r>
              <w:rPr>
                <w:sz w:val="18"/>
              </w:rPr>
              <w:t>$150.31</w:t>
            </w:r>
          </w:p>
        </w:tc>
        <w:tc>
          <w:tcPr>
            <w:tcW w:type="dxa" w:w="2268"/>
            <w:shd w:val="clear" w:color="auto" w:fill="FFFFFF"/>
          </w:tcPr>
          <w:p>
            <w:r>
              <w:rPr>
                <w:sz w:val="18"/>
              </w:rPr>
              <w:t>Buy</w:t>
            </w:r>
          </w:p>
        </w:tc>
        <w:tc>
          <w:tcPr>
            <w:tcW w:type="dxa" w:w="2268"/>
            <w:shd w:val="clear" w:color="auto" w:fill="FFFFFF"/>
          </w:tcPr>
          <w:p>
            <w:r>
              <w:rPr>
                <w:sz w:val="18"/>
              </w:rPr>
              <w:t>+35%</w:t>
            </w:r>
          </w:p>
        </w:tc>
      </w:tr>
      <w:tr>
        <w:tc>
          <w:tcPr>
            <w:tcW w:type="dxa" w:w="2268"/>
            <w:shd w:val="clear" w:color="auto" w:fill="EBF3FB"/>
          </w:tcPr>
          <w:p>
            <w:r>
              <w:rPr>
                <w:sz w:val="18"/>
              </w:rPr>
              <w:t>StockAnalysis consensus</w:t>
            </w:r>
          </w:p>
        </w:tc>
        <w:tc>
          <w:tcPr>
            <w:tcW w:type="dxa" w:w="2268"/>
            <w:shd w:val="clear" w:color="auto" w:fill="EBF3FB"/>
          </w:tcPr>
          <w:p>
            <w:r>
              <w:rPr>
                <w:sz w:val="18"/>
              </w:rPr>
              <w:t>$154.38</w:t>
            </w:r>
          </w:p>
        </w:tc>
        <w:tc>
          <w:tcPr>
            <w:tcW w:type="dxa" w:w="2268"/>
            <w:shd w:val="clear" w:color="auto" w:fill="EBF3FB"/>
          </w:tcPr>
          <w:p>
            <w:r>
              <w:rPr>
                <w:sz w:val="18"/>
              </w:rPr>
              <w:t>Strong Buy</w:t>
            </w:r>
          </w:p>
        </w:tc>
        <w:tc>
          <w:tcPr>
            <w:tcW w:type="dxa" w:w="2268"/>
            <w:shd w:val="clear" w:color="auto" w:fill="EBF3FB"/>
          </w:tcPr>
          <w:p>
            <w:r>
              <w:rPr>
                <w:sz w:val="18"/>
              </w:rPr>
              <w:t>+39%</w:t>
            </w:r>
          </w:p>
        </w:tc>
      </w:tr>
      <w:tr>
        <w:tc>
          <w:tcPr>
            <w:tcW w:type="dxa" w:w="2268"/>
            <w:shd w:val="clear" w:color="auto" w:fill="FFFFFF"/>
          </w:tcPr>
          <w:p>
            <w:r>
              <w:rPr>
                <w:sz w:val="18"/>
              </w:rPr>
              <w:t>Alpha Spread DCF (Oct 2025)</w:t>
            </w:r>
          </w:p>
        </w:tc>
        <w:tc>
          <w:tcPr>
            <w:tcW w:type="dxa" w:w="2268"/>
            <w:shd w:val="clear" w:color="auto" w:fill="FFFFFF"/>
          </w:tcPr>
          <w:p>
            <w:r>
              <w:rPr>
                <w:sz w:val="18"/>
              </w:rPr>
              <w:t>$185.42</w:t>
            </w:r>
          </w:p>
        </w:tc>
        <w:tc>
          <w:tcPr>
            <w:tcW w:type="dxa" w:w="2268"/>
            <w:shd w:val="clear" w:color="auto" w:fill="FFFFFF"/>
          </w:tcPr>
          <w:p>
            <w:r>
              <w:rPr>
                <w:sz w:val="18"/>
              </w:rPr>
              <w:t>—</w:t>
            </w:r>
          </w:p>
        </w:tc>
        <w:tc>
          <w:tcPr>
            <w:tcW w:type="dxa" w:w="2268"/>
            <w:shd w:val="clear" w:color="auto" w:fill="FFFFFF"/>
          </w:tcPr>
          <w:p>
            <w:r>
              <w:rPr>
                <w:sz w:val="18"/>
              </w:rPr>
              <w:t>+67%</w:t>
            </w:r>
          </w:p>
        </w:tc>
      </w:tr>
      <w:tr>
        <w:tc>
          <w:tcPr>
            <w:tcW w:type="dxa" w:w="2268"/>
            <w:shd w:val="clear" w:color="auto" w:fill="EBF3FB"/>
          </w:tcPr>
          <w:p>
            <w:r>
              <w:rPr>
                <w:sz w:val="18"/>
              </w:rPr>
              <w:t>This analysis — Bear Case</w:t>
            </w:r>
          </w:p>
        </w:tc>
        <w:tc>
          <w:tcPr>
            <w:tcW w:type="dxa" w:w="2268"/>
            <w:shd w:val="clear" w:color="auto" w:fill="EBF3FB"/>
          </w:tcPr>
          <w:p>
            <w:r>
              <w:rPr>
                <w:sz w:val="18"/>
              </w:rPr>
              <w:t>$66.5</w:t>
            </w:r>
          </w:p>
        </w:tc>
        <w:tc>
          <w:tcPr>
            <w:tcW w:type="dxa" w:w="2268"/>
            <w:shd w:val="clear" w:color="auto" w:fill="EBF3FB"/>
          </w:tcPr>
          <w:p>
            <w:r>
              <w:rPr>
                <w:sz w:val="18"/>
              </w:rPr>
              <w:t>—</w:t>
            </w:r>
          </w:p>
        </w:tc>
        <w:tc>
          <w:tcPr>
            <w:tcW w:type="dxa" w:w="2268"/>
            <w:shd w:val="clear" w:color="auto" w:fill="EBF3FB"/>
          </w:tcPr>
          <w:p>
            <w:r>
              <w:rPr>
                <w:sz w:val="18"/>
              </w:rPr>
              <w:t>-40%</w:t>
            </w:r>
          </w:p>
        </w:tc>
      </w:tr>
      <w:tr>
        <w:tc>
          <w:tcPr>
            <w:tcW w:type="dxa" w:w="2268"/>
            <w:shd w:val="clear" w:color="auto" w:fill="FFFFFF"/>
          </w:tcPr>
          <w:p>
            <w:r>
              <w:rPr>
                <w:sz w:val="18"/>
              </w:rPr>
              <w:t>This analysis — Base Case</w:t>
            </w:r>
          </w:p>
        </w:tc>
        <w:tc>
          <w:tcPr>
            <w:tcW w:type="dxa" w:w="2268"/>
            <w:shd w:val="clear" w:color="auto" w:fill="FFFFFF"/>
          </w:tcPr>
          <w:p>
            <w:r>
              <w:rPr>
                <w:sz w:val="18"/>
              </w:rPr>
              <w:t>$103.4</w:t>
            </w:r>
          </w:p>
        </w:tc>
        <w:tc>
          <w:tcPr>
            <w:tcW w:type="dxa" w:w="2268"/>
            <w:shd w:val="clear" w:color="auto" w:fill="FFFFFF"/>
          </w:tcPr>
          <w:p>
            <w:r>
              <w:rPr>
                <w:sz w:val="18"/>
              </w:rPr>
              <w:t>—</w:t>
            </w:r>
          </w:p>
        </w:tc>
        <w:tc>
          <w:tcPr>
            <w:tcW w:type="dxa" w:w="2268"/>
            <w:shd w:val="clear" w:color="auto" w:fill="FFFFFF"/>
          </w:tcPr>
          <w:p>
            <w:r>
              <w:rPr>
                <w:sz w:val="18"/>
              </w:rPr>
              <w:t>-7%</w:t>
            </w:r>
          </w:p>
        </w:tc>
      </w:tr>
      <w:tr>
        <w:tc>
          <w:tcPr>
            <w:tcW w:type="dxa" w:w="2268"/>
            <w:shd w:val="clear" w:color="auto" w:fill="EBF3FB"/>
          </w:tcPr>
          <w:p>
            <w:r>
              <w:rPr>
                <w:sz w:val="18"/>
              </w:rPr>
              <w:t>This analysis — Bull Case</w:t>
            </w:r>
          </w:p>
        </w:tc>
        <w:tc>
          <w:tcPr>
            <w:tcW w:type="dxa" w:w="2268"/>
            <w:shd w:val="clear" w:color="auto" w:fill="EBF3FB"/>
          </w:tcPr>
          <w:p>
            <w:r>
              <w:rPr>
                <w:sz w:val="18"/>
              </w:rPr>
              <w:t>$187.2</w:t>
            </w:r>
          </w:p>
        </w:tc>
        <w:tc>
          <w:tcPr>
            <w:tcW w:type="dxa" w:w="2268"/>
            <w:shd w:val="clear" w:color="auto" w:fill="EBF3FB"/>
          </w:tcPr>
          <w:p>
            <w:r>
              <w:rPr>
                <w:sz w:val="18"/>
              </w:rPr>
              <w:t>—</w:t>
            </w:r>
          </w:p>
        </w:tc>
        <w:tc>
          <w:tcPr>
            <w:tcW w:type="dxa" w:w="2268"/>
            <w:shd w:val="clear" w:color="auto" w:fill="EBF3FB"/>
          </w:tcPr>
          <w:p>
            <w:r>
              <w:rPr>
                <w:sz w:val="18"/>
              </w:rPr>
              <w:t>+69%</w:t>
            </w:r>
          </w:p>
        </w:tc>
      </w:tr>
      <w:tr>
        <w:tc>
          <w:tcPr>
            <w:tcW w:type="dxa" w:w="2268"/>
            <w:shd w:val="clear" w:color="auto" w:fill="FFFFFF"/>
          </w:tcPr>
          <w:p>
            <w:r>
              <w:rPr>
                <w:sz w:val="18"/>
              </w:rPr>
              <w:t>This analysis — Prob-Weighted</w:t>
            </w:r>
          </w:p>
        </w:tc>
        <w:tc>
          <w:tcPr>
            <w:tcW w:type="dxa" w:w="2268"/>
            <w:shd w:val="clear" w:color="auto" w:fill="FFFFFF"/>
          </w:tcPr>
          <w:p>
            <w:r>
              <w:rPr>
                <w:sz w:val="18"/>
              </w:rPr>
              <w:t>~$105</w:t>
            </w:r>
          </w:p>
        </w:tc>
        <w:tc>
          <w:tcPr>
            <w:tcW w:type="dxa" w:w="2268"/>
            <w:shd w:val="clear" w:color="auto" w:fill="FFFFFF"/>
          </w:tcPr>
          <w:p>
            <w:r>
              <w:rPr>
                <w:sz w:val="18"/>
              </w:rPr>
              <w:t>Hold/Accumulate</w:t>
            </w:r>
          </w:p>
        </w:tc>
        <w:tc>
          <w:tcPr>
            <w:tcW w:type="dxa" w:w="2268"/>
            <w:shd w:val="clear" w:color="auto" w:fill="FFFFFF"/>
          </w:tcPr>
          <w:p>
            <w:r>
              <w:rPr>
                <w:sz w:val="18"/>
              </w:rPr>
              <w:t>-5%</w:t>
            </w:r>
          </w:p>
        </w:tc>
      </w:tr>
      <w:tr>
        <w:tc>
          <w:tcPr>
            <w:tcW w:type="dxa" w:w="2268"/>
            <w:shd w:val="clear" w:color="auto" w:fill="EBF3FB"/>
          </w:tcPr>
          <w:p>
            <w:r>
              <w:rPr>
                <w:sz w:val="18"/>
              </w:rPr>
              <w:t>This analysis — 12M Trading Target</w:t>
            </w:r>
          </w:p>
        </w:tc>
        <w:tc>
          <w:tcPr>
            <w:tcW w:type="dxa" w:w="2268"/>
            <w:shd w:val="clear" w:color="auto" w:fill="EBF3FB"/>
          </w:tcPr>
          <w:p>
            <w:r>
              <w:rPr>
                <w:sz w:val="18"/>
              </w:rPr>
              <w:t>$135</w:t>
            </w:r>
          </w:p>
        </w:tc>
        <w:tc>
          <w:tcPr>
            <w:tcW w:type="dxa" w:w="2268"/>
            <w:shd w:val="clear" w:color="auto" w:fill="EBF3FB"/>
          </w:tcPr>
          <w:p>
            <w:r>
              <w:rPr>
                <w:sz w:val="18"/>
              </w:rPr>
              <w:t>Accumulate on weakness</w:t>
            </w:r>
          </w:p>
        </w:tc>
        <w:tc>
          <w:tcPr>
            <w:tcW w:type="dxa" w:w="2268"/>
            <w:shd w:val="clear" w:color="auto" w:fill="EBF3FB"/>
          </w:tcPr>
          <w:p>
            <w:r>
              <w:rPr>
                <w:sz w:val="18"/>
              </w:rPr>
              <w:t>+22%</w:t>
            </w:r>
          </w:p>
        </w:tc>
      </w:tr>
    </w:tbl>
    <w:p/>
    <w:p>
      <w:pPr>
        <w:pStyle w:val="Heading2"/>
        <w:jc w:val="left"/>
      </w:pPr>
      <w:r>
        <w:rPr>
          <w:color w:val="1F4E79"/>
        </w:rPr>
        <w:t>Risk Assessment</w:t>
      </w:r>
    </w:p>
    <w:p>
      <w:pPr>
        <w:pStyle w:val="Heading3"/>
        <w:jc w:val="left"/>
      </w:pPr>
      <w:r>
        <w:rPr>
          <w:color w:val="000000"/>
        </w:rPr>
        <w:t>Company-Specific Risks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Risk</w:t>
            </w:r>
          </w:p>
        </w:tc>
        <w:tc>
          <w:tcPr>
            <w:tcW w:type="dxa" w:w="2268"/>
            <w:shd w:val="clear" w:color="auto" w:fill="1F4E79"/>
          </w:tcPr>
          <w:p>
            <w:r>
              <w:rPr>
                <w:b/>
                <w:color w:val="FFFFFF"/>
                <w:sz w:val="18"/>
              </w:rPr>
              <w:t>Severity</w:t>
            </w:r>
          </w:p>
        </w:tc>
        <w:tc>
          <w:tcPr>
            <w:tcW w:type="dxa" w:w="2268"/>
            <w:shd w:val="clear" w:color="auto" w:fill="1F4E79"/>
          </w:tcPr>
          <w:p>
            <w:r>
              <w:rPr>
                <w:b/>
                <w:color w:val="FFFFFF"/>
                <w:sz w:val="18"/>
              </w:rPr>
              <w:t>Probability</w:t>
            </w:r>
          </w:p>
        </w:tc>
        <w:tc>
          <w:tcPr>
            <w:tcW w:type="dxa" w:w="2268"/>
            <w:shd w:val="clear" w:color="auto" w:fill="1F4E79"/>
          </w:tcPr>
          <w:p>
            <w:r>
              <w:rPr>
                <w:b/>
                <w:color w:val="FFFFFF"/>
                <w:sz w:val="18"/>
              </w:rPr>
              <w:t>Mitigation</w:t>
            </w:r>
          </w:p>
        </w:tc>
      </w:tr>
      <w:tr>
        <w:tc>
          <w:tcPr>
            <w:tcW w:type="dxa" w:w="2268"/>
            <w:shd w:val="clear" w:color="auto" w:fill="EBF3FB"/>
          </w:tcPr>
          <w:p>
            <w:r>
              <w:rPr>
                <w:sz w:val="18"/>
              </w:rPr>
              <w:t>Advertising revenue secular decline (ByteDance stealing mobile search)</w:t>
            </w:r>
          </w:p>
        </w:tc>
        <w:tc>
          <w:tcPr>
            <w:tcW w:type="dxa" w:w="2268"/>
            <w:shd w:val="clear" w:color="auto" w:fill="EBF3FB"/>
          </w:tcPr>
          <w:p>
            <w:r>
              <w:rPr>
                <w:sz w:val="18"/>
              </w:rPr>
              <w:t>High</w:t>
            </w:r>
          </w:p>
        </w:tc>
        <w:tc>
          <w:tcPr>
            <w:tcW w:type="dxa" w:w="2268"/>
            <w:shd w:val="clear" w:color="auto" w:fill="EBF3FB"/>
          </w:tcPr>
          <w:p>
            <w:r>
              <w:rPr>
                <w:sz w:val="18"/>
              </w:rPr>
              <w:t>High</w:t>
            </w:r>
          </w:p>
        </w:tc>
        <w:tc>
          <w:tcPr>
            <w:tcW w:type="dxa" w:w="2268"/>
            <w:shd w:val="clear" w:color="auto" w:fill="EBF3FB"/>
          </w:tcPr>
          <w:p>
            <w:r>
              <w:rPr>
                <w:sz w:val="18"/>
              </w:rPr>
              <w:t>AI-native search integration; pivot to subscription revenue</w:t>
            </w:r>
          </w:p>
        </w:tc>
      </w:tr>
      <w:tr>
        <w:tc>
          <w:tcPr>
            <w:tcW w:type="dxa" w:w="2268"/>
            <w:shd w:val="clear" w:color="auto" w:fill="FFFFFF"/>
          </w:tcPr>
          <w:p>
            <w:r>
              <w:rPr>
                <w:sz w:val="18"/>
              </w:rPr>
              <w:t>FCF remains negative beyond FY2026 (AI capex continues to expand)</w:t>
            </w:r>
          </w:p>
        </w:tc>
        <w:tc>
          <w:tcPr>
            <w:tcW w:type="dxa" w:w="2268"/>
            <w:shd w:val="clear" w:color="auto" w:fill="FFFFFF"/>
          </w:tcPr>
          <w:p>
            <w:r>
              <w:rPr>
                <w:sz w:val="18"/>
              </w:rPr>
              <w:t>High</w:t>
            </w:r>
          </w:p>
        </w:tc>
        <w:tc>
          <w:tcPr>
            <w:tcW w:type="dxa" w:w="2268"/>
            <w:shd w:val="clear" w:color="auto" w:fill="FFFFFF"/>
          </w:tcPr>
          <w:p>
            <w:r>
              <w:rPr>
                <w:sz w:val="18"/>
              </w:rPr>
              <w:t>Medium</w:t>
            </w:r>
          </w:p>
        </w:tc>
        <w:tc>
          <w:tcPr>
            <w:tcW w:type="dxa" w:w="2268"/>
            <w:shd w:val="clear" w:color="auto" w:fill="FFFFFF"/>
          </w:tcPr>
          <w:p>
            <w:r>
              <w:rPr>
                <w:sz w:val="18"/>
              </w:rPr>
              <w:t>Net cash $4.9B provides ~3-year buffer; no existential threat</w:t>
            </w:r>
          </w:p>
        </w:tc>
      </w:tr>
      <w:tr>
        <w:tc>
          <w:tcPr>
            <w:tcW w:type="dxa" w:w="2268"/>
            <w:shd w:val="clear" w:color="auto" w:fill="EBF3FB"/>
          </w:tcPr>
          <w:p>
            <w:r>
              <w:rPr>
                <w:sz w:val="18"/>
              </w:rPr>
              <w:t>AI Cloud stays #5 — ByteDance/Alibaba entrench lead</w:t>
            </w:r>
          </w:p>
        </w:tc>
        <w:tc>
          <w:tcPr>
            <w:tcW w:type="dxa" w:w="2268"/>
            <w:shd w:val="clear" w:color="auto" w:fill="EBF3FB"/>
          </w:tcPr>
          <w:p>
            <w:r>
              <w:rPr>
                <w:sz w:val="18"/>
              </w:rPr>
              <w:t>Medium</w:t>
            </w:r>
          </w:p>
        </w:tc>
        <w:tc>
          <w:tcPr>
            <w:tcW w:type="dxa" w:w="2268"/>
            <w:shd w:val="clear" w:color="auto" w:fill="EBF3FB"/>
          </w:tcPr>
          <w:p>
            <w:r>
              <w:rPr>
                <w:sz w:val="18"/>
              </w:rPr>
              <w:t>Medium</w:t>
            </w:r>
          </w:p>
        </w:tc>
        <w:tc>
          <w:tcPr>
            <w:tcW w:type="dxa" w:w="2268"/>
            <w:shd w:val="clear" w:color="auto" w:fill="EBF3FB"/>
          </w:tcPr>
          <w:p>
            <w:r>
              <w:rPr>
                <w:sz w:val="18"/>
              </w:rPr>
              <w:t>Cost moat (1% of GPT price) could win price-sensitive enterprise</w:t>
            </w:r>
          </w:p>
        </w:tc>
      </w:tr>
      <w:tr>
        <w:tc>
          <w:tcPr>
            <w:tcW w:type="dxa" w:w="2268"/>
            <w:shd w:val="clear" w:color="auto" w:fill="FFFFFF"/>
          </w:tcPr>
          <w:p>
            <w:r>
              <w:rPr>
                <w:sz w:val="18"/>
              </w:rPr>
              <w:t>Apollo Go commercialization delays</w:t>
            </w:r>
          </w:p>
        </w:tc>
        <w:tc>
          <w:tcPr>
            <w:tcW w:type="dxa" w:w="2268"/>
            <w:shd w:val="clear" w:color="auto" w:fill="FFFFFF"/>
          </w:tcPr>
          <w:p>
            <w:r>
              <w:rPr>
                <w:sz w:val="18"/>
              </w:rPr>
              <w:t>Medium</w:t>
            </w:r>
          </w:p>
        </w:tc>
        <w:tc>
          <w:tcPr>
            <w:tcW w:type="dxa" w:w="2268"/>
            <w:shd w:val="clear" w:color="auto" w:fill="FFFFFF"/>
          </w:tcPr>
          <w:p>
            <w:r>
              <w:rPr>
                <w:sz w:val="18"/>
              </w:rPr>
              <w:t>Low–Medium</w:t>
            </w:r>
          </w:p>
        </w:tc>
        <w:tc>
          <w:tcPr>
            <w:tcW w:type="dxa" w:w="2268"/>
            <w:shd w:val="clear" w:color="auto" w:fill="FFFFFF"/>
          </w:tcPr>
          <w:p>
            <w:r>
              <w:rPr>
                <w:sz w:val="18"/>
              </w:rPr>
              <w:t>Already at unit economics in Wuhan/Beijing</w:t>
            </w:r>
          </w:p>
        </w:tc>
      </w:tr>
      <w:tr>
        <w:tc>
          <w:tcPr>
            <w:tcW w:type="dxa" w:w="2268"/>
            <w:shd w:val="clear" w:color="auto" w:fill="EBF3FB"/>
          </w:tcPr>
          <w:p>
            <w:r>
              <w:rPr>
                <w:sz w:val="18"/>
              </w:rPr>
              <w:t>Management execution risk — too many bets</w:t>
            </w:r>
          </w:p>
        </w:tc>
        <w:tc>
          <w:tcPr>
            <w:tcW w:type="dxa" w:w="2268"/>
            <w:shd w:val="clear" w:color="auto" w:fill="EBF3FB"/>
          </w:tcPr>
          <w:p>
            <w:r>
              <w:rPr>
                <w:sz w:val="18"/>
              </w:rPr>
              <w:t>Medium</w:t>
            </w:r>
          </w:p>
        </w:tc>
        <w:tc>
          <w:tcPr>
            <w:tcW w:type="dxa" w:w="2268"/>
            <w:shd w:val="clear" w:color="auto" w:fill="EBF3FB"/>
          </w:tcPr>
          <w:p>
            <w:r>
              <w:rPr>
                <w:sz w:val="18"/>
              </w:rPr>
              <w:t>Medium</w:t>
            </w:r>
          </w:p>
        </w:tc>
        <w:tc>
          <w:tcPr>
            <w:tcW w:type="dxa" w:w="2268"/>
            <w:shd w:val="clear" w:color="auto" w:fill="EBF3FB"/>
          </w:tcPr>
          <w:p>
            <w:r>
              <w:rPr>
                <w:sz w:val="18"/>
              </w:rPr>
              <w:t>Robin Li has managed this portfolio 20+ years</w:t>
            </w:r>
          </w:p>
        </w:tc>
      </w:tr>
    </w:tbl>
    <w:p>
      <w:pPr>
        <w:pStyle w:val="Heading3"/>
        <w:jc w:val="left"/>
      </w:pPr>
      <w:r>
        <w:rPr>
          <w:color w:val="000000"/>
        </w:rPr>
        <w:t>Structural / Macro Risks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Pr>
          <w:p>
            <w:r>
              <w:rPr>
                <w:b/>
                <w:color w:val="FFFFFF"/>
                <w:sz w:val="18"/>
              </w:rPr>
              <w:t>Risk</w:t>
            </w:r>
          </w:p>
        </w:tc>
        <w:tc>
          <w:tcPr>
            <w:tcW w:type="dxa" w:w="3024"/>
            <w:shd w:val="clear" w:color="auto" w:fill="1F4E79"/>
          </w:tcPr>
          <w:p>
            <w:r>
              <w:rPr>
                <w:b/>
                <w:color w:val="FFFFFF"/>
                <w:sz w:val="18"/>
              </w:rPr>
              <w:t>Severity</w:t>
            </w:r>
          </w:p>
        </w:tc>
        <w:tc>
          <w:tcPr>
            <w:tcW w:type="dxa" w:w="3024"/>
            <w:shd w:val="clear" w:color="auto" w:fill="1F4E79"/>
          </w:tcPr>
          <w:p>
            <w:r>
              <w:rPr>
                <w:b/>
                <w:color w:val="FFFFFF"/>
                <w:sz w:val="18"/>
              </w:rPr>
              <w:t>Assessment</w:t>
            </w:r>
          </w:p>
        </w:tc>
      </w:tr>
      <w:tr>
        <w:tc>
          <w:tcPr>
            <w:tcW w:type="dxa" w:w="3024"/>
            <w:shd w:val="clear" w:color="auto" w:fill="EBF3FB"/>
          </w:tcPr>
          <w:p>
            <w:r>
              <w:rPr>
                <w:sz w:val="18"/>
              </w:rPr>
              <w:t>VIE structure unwinding</w:t>
            </w:r>
          </w:p>
        </w:tc>
        <w:tc>
          <w:tcPr>
            <w:tcW w:type="dxa" w:w="3024"/>
            <w:shd w:val="clear" w:color="auto" w:fill="EBF3FB"/>
          </w:tcPr>
          <w:p>
            <w:r>
              <w:rPr>
                <w:sz w:val="18"/>
              </w:rPr>
              <w:t>EXTREME</w:t>
            </w:r>
          </w:p>
        </w:tc>
        <w:tc>
          <w:tcPr>
            <w:tcW w:type="dxa" w:w="3024"/>
            <w:shd w:val="clear" w:color="auto" w:fill="EBF3FB"/>
          </w:tcPr>
          <w:p>
            <w:r>
              <w:rPr>
                <w:sz w:val="18"/>
              </w:rPr>
              <w:t>Low probability but catastrophic tail risk — '"worthless"' per 20-F worst case</w:t>
            </w:r>
          </w:p>
        </w:tc>
      </w:tr>
      <w:tr>
        <w:tc>
          <w:tcPr>
            <w:tcW w:type="dxa" w:w="3024"/>
            <w:shd w:val="clear" w:color="auto" w:fill="FFFFFF"/>
          </w:tcPr>
          <w:p>
            <w:r>
              <w:rPr>
                <w:sz w:val="18"/>
              </w:rPr>
              <w:t>HFCAA ADR delisting</w:t>
            </w:r>
          </w:p>
        </w:tc>
        <w:tc>
          <w:tcPr>
            <w:tcW w:type="dxa" w:w="3024"/>
            <w:shd w:val="clear" w:color="auto" w:fill="FFFFFF"/>
          </w:tcPr>
          <w:p>
            <w:r>
              <w:rPr>
                <w:sz w:val="18"/>
              </w:rPr>
              <w:t>High</w:t>
            </w:r>
          </w:p>
        </w:tc>
        <w:tc>
          <w:tcPr>
            <w:tcW w:type="dxa" w:w="3024"/>
            <w:shd w:val="clear" w:color="auto" w:fill="FFFFFF"/>
          </w:tcPr>
          <w:p>
            <w:r>
              <w:rPr>
                <w:sz w:val="18"/>
              </w:rPr>
              <w:t>Low–Medium probability; PCAOB inspection improved since 2022</w:t>
            </w:r>
          </w:p>
        </w:tc>
      </w:tr>
      <w:tr>
        <w:tc>
          <w:tcPr>
            <w:tcW w:type="dxa" w:w="3024"/>
            <w:shd w:val="clear" w:color="auto" w:fill="EBF3FB"/>
          </w:tcPr>
          <w:p>
            <w:r>
              <w:rPr>
                <w:sz w:val="18"/>
              </w:rPr>
              <w:t>China regulatory crackdown (repeat of 2021)</w:t>
            </w:r>
          </w:p>
        </w:tc>
        <w:tc>
          <w:tcPr>
            <w:tcW w:type="dxa" w:w="3024"/>
            <w:shd w:val="clear" w:color="auto" w:fill="EBF3FB"/>
          </w:tcPr>
          <w:p>
            <w:r>
              <w:rPr>
                <w:sz w:val="18"/>
              </w:rPr>
              <w:t>High</w:t>
            </w:r>
          </w:p>
        </w:tc>
        <w:tc>
          <w:tcPr>
            <w:tcW w:type="dxa" w:w="3024"/>
            <w:shd w:val="clear" w:color="auto" w:fill="EBF3FB"/>
          </w:tcPr>
          <w:p>
            <w:r>
              <w:rPr>
                <w:sz w:val="18"/>
              </w:rPr>
              <w:t>Medium — AI regulation evolving but gov't is pro-AI</w:t>
            </w:r>
          </w:p>
        </w:tc>
      </w:tr>
      <w:tr>
        <w:tc>
          <w:tcPr>
            <w:tcW w:type="dxa" w:w="3024"/>
            <w:shd w:val="clear" w:color="auto" w:fill="FFFFFF"/>
          </w:tcPr>
          <w:p>
            <w:r>
              <w:rPr>
                <w:sz w:val="18"/>
              </w:rPr>
              <w:t>US-China geopolitical escalation / tariffs</w:t>
            </w:r>
          </w:p>
        </w:tc>
        <w:tc>
          <w:tcPr>
            <w:tcW w:type="dxa" w:w="3024"/>
            <w:shd w:val="clear" w:color="auto" w:fill="FFFFFF"/>
          </w:tcPr>
          <w:p>
            <w:r>
              <w:rPr>
                <w:sz w:val="18"/>
              </w:rPr>
              <w:t>High</w:t>
            </w:r>
          </w:p>
        </w:tc>
        <w:tc>
          <w:tcPr>
            <w:tcW w:type="dxa" w:w="3024"/>
            <w:shd w:val="clear" w:color="auto" w:fill="FFFFFF"/>
          </w:tcPr>
          <w:p>
            <w:r>
              <w:rPr>
                <w:sz w:val="18"/>
              </w:rPr>
              <w:t>Ongoing — currently priced in at ~0.93x P/B</w:t>
            </w:r>
          </w:p>
        </w:tc>
      </w:tr>
      <w:tr>
        <w:tc>
          <w:tcPr>
            <w:tcW w:type="dxa" w:w="3024"/>
            <w:shd w:val="clear" w:color="auto" w:fill="EBF3FB"/>
          </w:tcPr>
          <w:p>
            <w:r>
              <w:rPr>
                <w:sz w:val="18"/>
              </w:rPr>
              <w:t>RMB depreciation vs USD</w:t>
            </w:r>
          </w:p>
        </w:tc>
        <w:tc>
          <w:tcPr>
            <w:tcW w:type="dxa" w:w="3024"/>
            <w:shd w:val="clear" w:color="auto" w:fill="EBF3FB"/>
          </w:tcPr>
          <w:p>
            <w:r>
              <w:rPr>
                <w:sz w:val="18"/>
              </w:rPr>
              <w:t>Medium</w:t>
            </w:r>
          </w:p>
        </w:tc>
        <w:tc>
          <w:tcPr>
            <w:tcW w:type="dxa" w:w="3024"/>
            <w:shd w:val="clear" w:color="auto" w:fill="EBF3FB"/>
          </w:tcPr>
          <w:p>
            <w:r>
              <w:rPr>
                <w:sz w:val="18"/>
              </w:rPr>
              <w:t>Partially structural; ADS structure provides some buffer</w:t>
            </w:r>
          </w:p>
        </w:tc>
      </w:tr>
    </w:tbl>
    <w:p>
      <w:r>
        <w:rPr>
          <w:b w:val="0"/>
          <w:sz w:val="18"/>
        </w:rPr>
        <w:t>ESG Note: Apollo Go's autonomous driving is net social positive, but China data sovereignty concerns limit ESG-screened institutional investors.</w:t>
      </w:r>
    </w:p>
    <w:p>
      <w:r>
        <w:rPr>
          <w:b/>
          <w:sz w:val="18"/>
        </w:rPr>
        <w:t>Position Sizing: 2–4% of portfolio. Higher China risk requires smaller sizing vs US tech equivalents. Only suitable for investors with explicit EM/China risk allocation.</w:t>
      </w:r>
    </w:p>
    <w:p/>
    <w:p>
      <w:pPr>
        <w:pStyle w:val="Heading2"/>
        <w:jc w:val="left"/>
      </w:pPr>
      <w:r>
        <w:rPr>
          <w:color w:val="1F4E79"/>
        </w:rPr>
        <w:t>Technical Context</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sz w:val="18"/>
              </w:rPr>
              <w:t>Level / Indicator</w:t>
            </w:r>
          </w:p>
        </w:tc>
        <w:tc>
          <w:tcPr>
            <w:tcW w:type="dxa" w:w="4536"/>
            <w:shd w:val="clear" w:color="auto" w:fill="1F4E79"/>
          </w:tcPr>
          <w:p>
            <w:r>
              <w:rPr>
                <w:b/>
                <w:color w:val="FFFFFF"/>
                <w:sz w:val="18"/>
              </w:rPr>
              <w:t>Price</w:t>
            </w:r>
          </w:p>
        </w:tc>
      </w:tr>
      <w:tr>
        <w:tc>
          <w:tcPr>
            <w:tcW w:type="dxa" w:w="4536"/>
            <w:shd w:val="clear" w:color="auto" w:fill="EBF3FB"/>
          </w:tcPr>
          <w:p>
            <w:r>
              <w:rPr>
                <w:sz w:val="18"/>
              </w:rPr>
              <w:t>Current Price</w:t>
            </w:r>
          </w:p>
        </w:tc>
        <w:tc>
          <w:tcPr>
            <w:tcW w:type="dxa" w:w="4536"/>
            <w:shd w:val="clear" w:color="auto" w:fill="EBF3FB"/>
          </w:tcPr>
          <w:p>
            <w:r>
              <w:rPr>
                <w:sz w:val="18"/>
              </w:rPr>
              <w:t>$111</w:t>
            </w:r>
          </w:p>
        </w:tc>
      </w:tr>
      <w:tr>
        <w:tc>
          <w:tcPr>
            <w:tcW w:type="dxa" w:w="4536"/>
            <w:shd w:val="clear" w:color="auto" w:fill="FFFFFF"/>
          </w:tcPr>
          <w:p>
            <w:r>
              <w:rPr>
                <w:sz w:val="18"/>
              </w:rPr>
              <w:t>52-Week Low (inferred, early 2025)</w:t>
            </w:r>
          </w:p>
        </w:tc>
        <w:tc>
          <w:tcPr>
            <w:tcW w:type="dxa" w:w="4536"/>
            <w:shd w:val="clear" w:color="auto" w:fill="FFFFFF"/>
          </w:tcPr>
          <w:p>
            <w:r>
              <w:rPr>
                <w:sz w:val="18"/>
              </w:rPr>
              <w:t>~$82</w:t>
            </w:r>
          </w:p>
        </w:tc>
      </w:tr>
      <w:tr>
        <w:tc>
          <w:tcPr>
            <w:tcW w:type="dxa" w:w="4536"/>
            <w:shd w:val="clear" w:color="auto" w:fill="EBF3FB"/>
          </w:tcPr>
          <w:p>
            <w:r>
              <w:rPr>
                <w:sz w:val="18"/>
              </w:rPr>
              <w:t>52-Week High (inferred, late 2025)</w:t>
            </w:r>
          </w:p>
        </w:tc>
        <w:tc>
          <w:tcPr>
            <w:tcW w:type="dxa" w:w="4536"/>
            <w:shd w:val="clear" w:color="auto" w:fill="EBF3FB"/>
          </w:tcPr>
          <w:p>
            <w:r>
              <w:rPr>
                <w:sz w:val="18"/>
              </w:rPr>
              <w:t>~$121</w:t>
            </w:r>
          </w:p>
        </w:tc>
      </w:tr>
      <w:tr>
        <w:tc>
          <w:tcPr>
            <w:tcW w:type="dxa" w:w="4536"/>
            <w:shd w:val="clear" w:color="auto" w:fill="FFFFFF"/>
          </w:tcPr>
          <w:p>
            <w:r>
              <w:rPr>
                <w:sz w:val="18"/>
              </w:rPr>
              <w:t>Key Support Zone 1</w:t>
            </w:r>
          </w:p>
        </w:tc>
        <w:tc>
          <w:tcPr>
            <w:tcW w:type="dxa" w:w="4536"/>
            <w:shd w:val="clear" w:color="auto" w:fill="FFFFFF"/>
          </w:tcPr>
          <w:p>
            <w:r>
              <w:rPr>
                <w:sz w:val="18"/>
              </w:rPr>
              <w:t>$95–$100 (prior base)</w:t>
            </w:r>
          </w:p>
        </w:tc>
      </w:tr>
      <w:tr>
        <w:tc>
          <w:tcPr>
            <w:tcW w:type="dxa" w:w="4536"/>
            <w:shd w:val="clear" w:color="auto" w:fill="EBF3FB"/>
          </w:tcPr>
          <w:p>
            <w:r>
              <w:rPr>
                <w:sz w:val="18"/>
              </w:rPr>
              <w:t>Key Support Zone 2</w:t>
            </w:r>
          </w:p>
        </w:tc>
        <w:tc>
          <w:tcPr>
            <w:tcW w:type="dxa" w:w="4536"/>
            <w:shd w:val="clear" w:color="auto" w:fill="EBF3FB"/>
          </w:tcPr>
          <w:p>
            <w:r>
              <w:rPr>
                <w:sz w:val="18"/>
              </w:rPr>
              <w:t>$85 (2025 lows)</w:t>
            </w:r>
          </w:p>
        </w:tc>
      </w:tr>
      <w:tr>
        <w:tc>
          <w:tcPr>
            <w:tcW w:type="dxa" w:w="4536"/>
            <w:shd w:val="clear" w:color="auto" w:fill="FFFFFF"/>
          </w:tcPr>
          <w:p>
            <w:r>
              <w:rPr>
                <w:sz w:val="18"/>
              </w:rPr>
              <w:t>Key Resistance 1</w:t>
            </w:r>
          </w:p>
        </w:tc>
        <w:tc>
          <w:tcPr>
            <w:tcW w:type="dxa" w:w="4536"/>
            <w:shd w:val="clear" w:color="auto" w:fill="FFFFFF"/>
          </w:tcPr>
          <w:p>
            <w:r>
              <w:rPr>
                <w:sz w:val="18"/>
              </w:rPr>
              <w:t>$120–$125 (recent highs)</w:t>
            </w:r>
          </w:p>
        </w:tc>
      </w:tr>
      <w:tr>
        <w:tc>
          <w:tcPr>
            <w:tcW w:type="dxa" w:w="4536"/>
            <w:shd w:val="clear" w:color="auto" w:fill="EBF3FB"/>
          </w:tcPr>
          <w:p>
            <w:r>
              <w:rPr>
                <w:sz w:val="18"/>
              </w:rPr>
              <w:t>Key Resistance 2 / Trading Target</w:t>
            </w:r>
          </w:p>
        </w:tc>
        <w:tc>
          <w:tcPr>
            <w:tcW w:type="dxa" w:w="4536"/>
            <w:shd w:val="clear" w:color="auto" w:fill="EBF3FB"/>
          </w:tcPr>
          <w:p>
            <w:r>
              <w:rPr>
                <w:sz w:val="18"/>
              </w:rPr>
              <w:t>$135–$145 (analyst consensus range)</w:t>
            </w:r>
          </w:p>
        </w:tc>
      </w:tr>
      <w:tr>
        <w:tc>
          <w:tcPr>
            <w:tcW w:type="dxa" w:w="4536"/>
            <w:shd w:val="clear" w:color="auto" w:fill="FFFFFF"/>
          </w:tcPr>
          <w:p>
            <w:r>
              <w:rPr>
                <w:sz w:val="18"/>
              </w:rPr>
              <w:t>Context</w:t>
            </w:r>
          </w:p>
        </w:tc>
        <w:tc>
          <w:tcPr>
            <w:tcW w:type="dxa" w:w="4536"/>
            <w:shd w:val="clear" w:color="auto" w:fill="FFFFFF"/>
          </w:tcPr>
          <w:p>
            <w:r>
              <w:rPr>
                <w:sz w:val="18"/>
              </w:rPr>
              <w:t>Consolidating after 52% rally in 2025 (~$82→$121); -8% from highs; mild pullback — no technical breakdown</w:t>
            </w:r>
          </w:p>
        </w:tc>
      </w:tr>
    </w:tbl>
    <w:p>
      <w:r>
        <w:rPr>
          <w:b w:val="0"/>
          <w:sz w:val="18"/>
        </w:rPr>
        <w:t>Options Strategy Note: Selling cash-secured puts at $90–95 strike could be an effective entry strategy for longer-term investors willing to accumulate at Graham-adjacent levels.</w:t>
      </w:r>
    </w:p>
    <w:p/>
    <w:p>
      <w:pPr>
        <w:pStyle w:val="Heading2"/>
        <w:jc w:val="left"/>
      </w:pPr>
      <w:r>
        <w:rPr>
          <w:color w:val="1F4E79"/>
        </w:rPr>
        <w:t>Insider Signals &amp; Institutional Activity</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sz w:val="18"/>
              </w:rPr>
              <w:t>Activity</w:t>
            </w:r>
          </w:p>
        </w:tc>
        <w:tc>
          <w:tcPr>
            <w:tcW w:type="dxa" w:w="4536"/>
            <w:shd w:val="clear" w:color="auto" w:fill="1F4E79"/>
          </w:tcPr>
          <w:p>
            <w:r>
              <w:rPr>
                <w:b/>
                <w:color w:val="FFFFFF"/>
                <w:sz w:val="18"/>
              </w:rPr>
              <w:t>Details</w:t>
            </w:r>
          </w:p>
        </w:tc>
      </w:tr>
      <w:tr>
        <w:tc>
          <w:tcPr>
            <w:tcW w:type="dxa" w:w="4536"/>
            <w:shd w:val="clear" w:color="auto" w:fill="EBF3FB"/>
          </w:tcPr>
          <w:p>
            <w:r>
              <w:rPr>
                <w:sz w:val="18"/>
              </w:rPr>
              <w:t>CEO Robin Li</w:t>
            </w:r>
          </w:p>
        </w:tc>
        <w:tc>
          <w:tcPr>
            <w:tcW w:type="dxa" w:w="4536"/>
            <w:shd w:val="clear" w:color="auto" w:fill="EBF3FB"/>
          </w:tcPr>
          <w:p>
            <w:r>
              <w:rPr>
                <w:sz w:val="18"/>
              </w:rPr>
              <w:t>Long-term insider; historically bought on dips; reputation for patient capital allocation</w:t>
            </w:r>
          </w:p>
        </w:tc>
      </w:tr>
      <w:tr>
        <w:tc>
          <w:tcPr>
            <w:tcW w:type="dxa" w:w="4536"/>
            <w:shd w:val="clear" w:color="auto" w:fill="FFFFFF"/>
          </w:tcPr>
          <w:p>
            <w:r>
              <w:rPr>
                <w:sz w:val="18"/>
              </w:rPr>
              <w:t>Share Buybacks</w:t>
            </w:r>
          </w:p>
        </w:tc>
        <w:tc>
          <w:tcPr>
            <w:tcW w:type="dxa" w:w="4536"/>
            <w:shd w:val="clear" w:color="auto" w:fill="FFFFFF"/>
          </w:tcPr>
          <w:p>
            <w:r>
              <w:rPr>
                <w:sz w:val="18"/>
              </w:rPr>
              <w:t>Active buyback program; $38B market cap vs $20B cash makes buybacks highly accretive</w:t>
            </w:r>
          </w:p>
        </w:tc>
      </w:tr>
      <w:tr>
        <w:tc>
          <w:tcPr>
            <w:tcW w:type="dxa" w:w="4536"/>
            <w:shd w:val="clear" w:color="auto" w:fill="EBF3FB"/>
          </w:tcPr>
          <w:p>
            <w:r>
              <w:rPr>
                <w:sz w:val="18"/>
              </w:rPr>
              <w:t>Institutional Ownership (Dec 2025)</w:t>
            </w:r>
          </w:p>
        </w:tc>
        <w:tc>
          <w:tcPr>
            <w:tcW w:type="dxa" w:w="4536"/>
            <w:shd w:val="clear" w:color="auto" w:fill="EBF3FB"/>
          </w:tcPr>
          <w:p>
            <w:r>
              <w:rPr>
                <w:sz w:val="18"/>
              </w:rPr>
              <w:t>Continued institutional presence; no major distribution signals</w:t>
            </w:r>
          </w:p>
        </w:tc>
      </w:tr>
      <w:tr>
        <w:tc>
          <w:tcPr>
            <w:tcW w:type="dxa" w:w="4536"/>
            <w:shd w:val="clear" w:color="auto" w:fill="FFFFFF"/>
          </w:tcPr>
          <w:p>
            <w:r>
              <w:rPr>
                <w:sz w:val="18"/>
              </w:rPr>
              <w:t>Analyst Trend</w:t>
            </w:r>
          </w:p>
        </w:tc>
        <w:tc>
          <w:tcPr>
            <w:tcW w:type="dxa" w:w="4536"/>
            <w:shd w:val="clear" w:color="auto" w:fill="FFFFFF"/>
          </w:tcPr>
          <w:p>
            <w:r>
              <w:rPr>
                <w:sz w:val="18"/>
              </w:rPr>
              <w:t>78% Strong Buy/Buy — bullish institutional positioning</w:t>
            </w:r>
          </w:p>
        </w:tc>
      </w:tr>
      <w:tr>
        <w:tc>
          <w:tcPr>
            <w:tcW w:type="dxa" w:w="4536"/>
            <w:shd w:val="clear" w:color="auto" w:fill="EBF3FB"/>
          </w:tcPr>
          <w:p>
            <w:r>
              <w:rPr>
                <w:sz w:val="18"/>
              </w:rPr>
              <w:t>Apollo Go Value Signal</w:t>
            </w:r>
          </w:p>
        </w:tc>
        <w:tc>
          <w:tcPr>
            <w:tcW w:type="dxa" w:w="4536"/>
            <w:shd w:val="clear" w:color="auto" w:fill="EBF3FB"/>
          </w:tcPr>
          <w:p>
            <w:r>
              <w:rPr>
                <w:sz w:val="18"/>
              </w:rPr>
              <w:t>$3.5/ADS incremental value cited by analysts — sell-side pricing in spin-off optionality</w:t>
            </w:r>
          </w:p>
        </w:tc>
      </w:tr>
    </w:tbl>
    <w:p/>
    <w:p>
      <w:pPr>
        <w:pStyle w:val="Heading1"/>
        <w:jc w:val="left"/>
      </w:pPr>
      <w:r>
        <w:rPr>
          <w:color w:val="1F4E79"/>
        </w:rPr>
        <w:t>RECOMMENDATION SUMMARY</w:t>
      </w:r>
    </w:p>
    <w:tbl>
      <w:tblPr>
        <w:tblStyle w:val="TableGrid"/>
        <w:tblW w:type="auto" w:w="0"/>
        <w:tblLook w:firstColumn="1" w:firstRow="1" w:lastColumn="0" w:lastRow="0" w:noHBand="0" w:noVBand="1" w:val="04A0"/>
      </w:tblPr>
      <w:tblGrid>
        <w:gridCol w:w="4536"/>
        <w:gridCol w:w="4536"/>
      </w:tblGrid>
      <w:tr>
        <w:tc>
          <w:tcPr>
            <w:tcW w:type="dxa" w:w="4536"/>
            <w:shd w:val="clear" w:color="auto" w:fill="1F4E79"/>
          </w:tcPr>
          <w:p>
            <w:r>
              <w:rPr>
                <w:b/>
                <w:color w:val="FFFFFF"/>
                <w:sz w:val="18"/>
              </w:rPr>
              <w:t>Metric</w:t>
            </w:r>
          </w:p>
        </w:tc>
        <w:tc>
          <w:tcPr>
            <w:tcW w:type="dxa" w:w="4536"/>
            <w:shd w:val="clear" w:color="auto" w:fill="1F4E79"/>
          </w:tcPr>
          <w:p>
            <w:r>
              <w:rPr>
                <w:b/>
                <w:color w:val="FFFFFF"/>
                <w:sz w:val="18"/>
              </w:rPr>
              <w:t>Value</w:t>
            </w:r>
          </w:p>
        </w:tc>
      </w:tr>
      <w:tr>
        <w:tc>
          <w:tcPr>
            <w:tcW w:type="dxa" w:w="4536"/>
            <w:shd w:val="clear" w:color="auto" w:fill="EBF3FB"/>
          </w:tcPr>
          <w:p>
            <w:r>
              <w:rPr>
                <w:sz w:val="18"/>
              </w:rPr>
              <w:t>Rating</w:t>
            </w:r>
          </w:p>
        </w:tc>
        <w:tc>
          <w:tcPr>
            <w:tcW w:type="dxa" w:w="4536"/>
            <w:shd w:val="clear" w:color="auto" w:fill="EBF3FB"/>
          </w:tcPr>
          <w:p>
            <w:r>
              <w:rPr>
                <w:sz w:val="18"/>
              </w:rPr>
              <w:t>HOLD / ACCUMULATE ON WEAKNESS</w:t>
            </w:r>
          </w:p>
        </w:tc>
      </w:tr>
      <w:tr>
        <w:tc>
          <w:tcPr>
            <w:tcW w:type="dxa" w:w="4536"/>
            <w:shd w:val="clear" w:color="auto" w:fill="FFFFFF"/>
          </w:tcPr>
          <w:p>
            <w:r>
              <w:rPr>
                <w:sz w:val="18"/>
              </w:rPr>
              <w:t>Conviction</w:t>
            </w:r>
          </w:p>
        </w:tc>
        <w:tc>
          <w:tcPr>
            <w:tcW w:type="dxa" w:w="4536"/>
            <w:shd w:val="clear" w:color="auto" w:fill="FFFFFF"/>
          </w:tcPr>
          <w:p>
            <w:r>
              <w:rPr>
                <w:sz w:val="18"/>
              </w:rPr>
              <w:t>Medium</w:t>
            </w:r>
          </w:p>
        </w:tc>
      </w:tr>
      <w:tr>
        <w:tc>
          <w:tcPr>
            <w:tcW w:type="dxa" w:w="4536"/>
            <w:shd w:val="clear" w:color="auto" w:fill="EBF3FB"/>
          </w:tcPr>
          <w:p>
            <w:r>
              <w:rPr>
                <w:sz w:val="18"/>
              </w:rPr>
              <w:t>Near-Term Price Target (12–18M)</w:t>
            </w:r>
          </w:p>
        </w:tc>
        <w:tc>
          <w:tcPr>
            <w:tcW w:type="dxa" w:w="4536"/>
            <w:shd w:val="clear" w:color="auto" w:fill="EBF3FB"/>
          </w:tcPr>
          <w:p>
            <w:r>
              <w:rPr>
                <w:sz w:val="18"/>
              </w:rPr>
              <w:t>$135</w:t>
            </w:r>
          </w:p>
        </w:tc>
      </w:tr>
      <w:tr>
        <w:tc>
          <w:tcPr>
            <w:tcW w:type="dxa" w:w="4536"/>
            <w:shd w:val="clear" w:color="auto" w:fill="FFFFFF"/>
          </w:tcPr>
          <w:p>
            <w:r>
              <w:rPr>
                <w:sz w:val="18"/>
              </w:rPr>
              <w:t>Bull Case Target</w:t>
            </w:r>
          </w:p>
        </w:tc>
        <w:tc>
          <w:tcPr>
            <w:tcW w:type="dxa" w:w="4536"/>
            <w:shd w:val="clear" w:color="auto" w:fill="FFFFFF"/>
          </w:tcPr>
          <w:p>
            <w:r>
              <w:rPr>
                <w:sz w:val="18"/>
              </w:rPr>
              <w:t>$187</w:t>
            </w:r>
          </w:p>
        </w:tc>
      </w:tr>
      <w:tr>
        <w:tc>
          <w:tcPr>
            <w:tcW w:type="dxa" w:w="4536"/>
            <w:shd w:val="clear" w:color="auto" w:fill="EBF3FB"/>
          </w:tcPr>
          <w:p>
            <w:r>
              <w:rPr>
                <w:sz w:val="18"/>
              </w:rPr>
              <w:t>Graham Buy Price (30% MoS)</w:t>
            </w:r>
          </w:p>
        </w:tc>
        <w:tc>
          <w:tcPr>
            <w:tcW w:type="dxa" w:w="4536"/>
            <w:shd w:val="clear" w:color="auto" w:fill="EBF3FB"/>
          </w:tcPr>
          <w:p>
            <w:r>
              <w:rPr>
                <w:sz w:val="18"/>
              </w:rPr>
              <w:t>≤ $72</w:t>
            </w:r>
          </w:p>
        </w:tc>
      </w:tr>
      <w:tr>
        <w:tc>
          <w:tcPr>
            <w:tcW w:type="dxa" w:w="4536"/>
            <w:shd w:val="clear" w:color="auto" w:fill="FFFFFF"/>
          </w:tcPr>
          <w:p>
            <w:r>
              <w:rPr>
                <w:sz w:val="18"/>
              </w:rPr>
              <w:t>Opportunistic Add Zone</w:t>
            </w:r>
          </w:p>
        </w:tc>
        <w:tc>
          <w:tcPr>
            <w:tcW w:type="dxa" w:w="4536"/>
            <w:shd w:val="clear" w:color="auto" w:fill="FFFFFF"/>
          </w:tcPr>
          <w:p>
            <w:r>
              <w:rPr>
                <w:sz w:val="18"/>
              </w:rPr>
              <w:t>$75–$90</w:t>
            </w:r>
          </w:p>
        </w:tc>
      </w:tr>
      <w:tr>
        <w:tc>
          <w:tcPr>
            <w:tcW w:type="dxa" w:w="4536"/>
            <w:shd w:val="clear" w:color="auto" w:fill="EBF3FB"/>
          </w:tcPr>
          <w:p>
            <w:r>
              <w:rPr>
                <w:sz w:val="18"/>
              </w:rPr>
              <w:t>Current Price Zone</w:t>
            </w:r>
          </w:p>
        </w:tc>
        <w:tc>
          <w:tcPr>
            <w:tcW w:type="dxa" w:w="4536"/>
            <w:shd w:val="clear" w:color="auto" w:fill="EBF3FB"/>
          </w:tcPr>
          <w:p>
            <w:r>
              <w:rPr>
                <w:sz w:val="18"/>
              </w:rPr>
              <w:t>Fairly Valued (base) / Discounted vs. Bull</w:t>
            </w:r>
          </w:p>
        </w:tc>
      </w:tr>
      <w:tr>
        <w:tc>
          <w:tcPr>
            <w:tcW w:type="dxa" w:w="4536"/>
            <w:shd w:val="clear" w:color="auto" w:fill="FFFFFF"/>
          </w:tcPr>
          <w:p>
            <w:r>
              <w:rPr>
                <w:sz w:val="18"/>
              </w:rPr>
              <w:t>Upside to Near-Term Target</w:t>
            </w:r>
          </w:p>
        </w:tc>
        <w:tc>
          <w:tcPr>
            <w:tcW w:type="dxa" w:w="4536"/>
            <w:shd w:val="clear" w:color="auto" w:fill="FFFFFF"/>
          </w:tcPr>
          <w:p>
            <w:r>
              <w:rPr>
                <w:sz w:val="18"/>
              </w:rPr>
              <w:t>+22%</w:t>
            </w:r>
          </w:p>
        </w:tc>
      </w:tr>
      <w:tr>
        <w:tc>
          <w:tcPr>
            <w:tcW w:type="dxa" w:w="4536"/>
            <w:shd w:val="clear" w:color="auto" w:fill="EBF3FB"/>
          </w:tcPr>
          <w:p>
            <w:r>
              <w:rPr>
                <w:sz w:val="18"/>
              </w:rPr>
              <w:t>Upside to Bull Case</w:t>
            </w:r>
          </w:p>
        </w:tc>
        <w:tc>
          <w:tcPr>
            <w:tcW w:type="dxa" w:w="4536"/>
            <w:shd w:val="clear" w:color="auto" w:fill="EBF3FB"/>
          </w:tcPr>
          <w:p>
            <w:r>
              <w:rPr>
                <w:sz w:val="18"/>
              </w:rPr>
              <w:t>+69%</w:t>
            </w:r>
          </w:p>
        </w:tc>
      </w:tr>
      <w:tr>
        <w:tc>
          <w:tcPr>
            <w:tcW w:type="dxa" w:w="4536"/>
            <w:shd w:val="clear" w:color="auto" w:fill="FFFFFF"/>
          </w:tcPr>
          <w:p>
            <w:r>
              <w:rPr>
                <w:sz w:val="18"/>
              </w:rPr>
              <w:t>Downside (Bear Case)</w:t>
            </w:r>
          </w:p>
        </w:tc>
        <w:tc>
          <w:tcPr>
            <w:tcW w:type="dxa" w:w="4536"/>
            <w:shd w:val="clear" w:color="auto" w:fill="FFFFFF"/>
          </w:tcPr>
          <w:p>
            <w:r>
              <w:rPr>
                <w:sz w:val="18"/>
              </w:rPr>
              <w:t>-40%</w:t>
            </w:r>
          </w:p>
        </w:tc>
      </w:tr>
      <w:tr>
        <w:tc>
          <w:tcPr>
            <w:tcW w:type="dxa" w:w="4536"/>
            <w:shd w:val="clear" w:color="auto" w:fill="EBF3FB"/>
          </w:tcPr>
          <w:p>
            <w:r>
              <w:rPr>
                <w:sz w:val="18"/>
              </w:rPr>
              <w:t>Risk/Reward (Base/Near-Term)</w:t>
            </w:r>
          </w:p>
        </w:tc>
        <w:tc>
          <w:tcPr>
            <w:tcW w:type="dxa" w:w="4536"/>
            <w:shd w:val="clear" w:color="auto" w:fill="EBF3FB"/>
          </w:tcPr>
          <w:p>
            <w:r>
              <w:rPr>
                <w:sz w:val="18"/>
              </w:rPr>
              <w:t>~2.0:1</w:t>
            </w:r>
          </w:p>
        </w:tc>
      </w:tr>
      <w:tr>
        <w:tc>
          <w:tcPr>
            <w:tcW w:type="dxa" w:w="4536"/>
            <w:shd w:val="clear" w:color="auto" w:fill="FFFFFF"/>
          </w:tcPr>
          <w:p>
            <w:r>
              <w:rPr>
                <w:sz w:val="18"/>
              </w:rPr>
              <w:t>Suggested Position Size</w:t>
            </w:r>
          </w:p>
        </w:tc>
        <w:tc>
          <w:tcPr>
            <w:tcW w:type="dxa" w:w="4536"/>
            <w:shd w:val="clear" w:color="auto" w:fill="FFFFFF"/>
          </w:tcPr>
          <w:p>
            <w:r>
              <w:rPr>
                <w:sz w:val="18"/>
              </w:rPr>
              <w:t>2–4% of portfolio</w:t>
            </w:r>
          </w:p>
        </w:tc>
      </w:tr>
      <w:tr>
        <w:tc>
          <w:tcPr>
            <w:tcW w:type="dxa" w:w="4536"/>
            <w:shd w:val="clear" w:color="auto" w:fill="EBF3FB"/>
          </w:tcPr>
          <w:p>
            <w:r>
              <w:rPr>
                <w:sz w:val="18"/>
              </w:rPr>
              <w:t>FCF Normalization Year</w:t>
            </w:r>
          </w:p>
        </w:tc>
        <w:tc>
          <w:tcPr>
            <w:tcW w:type="dxa" w:w="4536"/>
            <w:shd w:val="clear" w:color="auto" w:fill="EBF3FB"/>
          </w:tcPr>
          <w:p>
            <w:r>
              <w:rPr>
                <w:sz w:val="18"/>
              </w:rPr>
              <w:t>FY2026–27 expected</w:t>
            </w:r>
          </w:p>
        </w:tc>
      </w:tr>
      <w:tr>
        <w:tc>
          <w:tcPr>
            <w:tcW w:type="dxa" w:w="4536"/>
            <w:shd w:val="clear" w:color="auto" w:fill="FFFFFF"/>
          </w:tcPr>
          <w:p>
            <w:r>
              <w:rPr>
                <w:sz w:val="18"/>
              </w:rPr>
              <w:t>Key Watch: BUY Trigger</w:t>
            </w:r>
          </w:p>
        </w:tc>
        <w:tc>
          <w:tcPr>
            <w:tcW w:type="dxa" w:w="4536"/>
            <w:shd w:val="clear" w:color="auto" w:fill="FFFFFF"/>
          </w:tcPr>
          <w:p>
            <w:r>
              <w:rPr>
                <w:sz w:val="18"/>
              </w:rPr>
              <w:t>FCF recovery in Q1/Q2 2026 earnings + Apollo profitability confirmed</w:t>
            </w:r>
          </w:p>
        </w:tc>
      </w:tr>
      <w:tr>
        <w:tc>
          <w:tcPr>
            <w:tcW w:type="dxa" w:w="4536"/>
            <w:shd w:val="clear" w:color="auto" w:fill="EBF3FB"/>
          </w:tcPr>
          <w:p>
            <w:r>
              <w:rPr>
                <w:sz w:val="18"/>
              </w:rPr>
              <w:t>Key Watch: SELL Trigger</w:t>
            </w:r>
          </w:p>
        </w:tc>
        <w:tc>
          <w:tcPr>
            <w:tcW w:type="dxa" w:w="4536"/>
            <w:shd w:val="clear" w:color="auto" w:fill="EBF3FB"/>
          </w:tcPr>
          <w:p>
            <w:r>
              <w:rPr>
                <w:sz w:val="18"/>
              </w:rPr>
              <w:t>Price &gt;$185 OR FCF negative 2+ years ex-investment OR search share &lt;40%</w:t>
            </w:r>
          </w:p>
        </w:tc>
      </w:tr>
    </w:tbl>
    <w:p/>
    <w:p>
      <w:pPr>
        <w:pStyle w:val="Heading2"/>
        <w:jc w:val="left"/>
      </w:pPr>
      <w:r>
        <w:rPr>
          <w:color w:val="808080"/>
        </w:rPr>
        <w:t>DISCLAIMER</w:t>
      </w:r>
    </w:p>
    <w:p>
      <w:r>
        <w:rPr>
          <w:i/>
          <w:color w:val="808080"/>
          <w:sz w:val="16"/>
        </w:rPr>
        <w:t>This analysis is for educational and research purposes only. It does not constitute financial advice, investment advice, trading advice, or any other advice. Past performance does not guarantee future results. All investments carry the risk of loss, including possible loss of principal. Chinese ADRs carry additional risks including VIE structure uncertainty, regulatory risk, delisting risk under HFCAA, and currency risk. Consult a qualified financial professional before making any investment decisions. Generated by Claude Code | Analysis Date: April 4,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