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A376C"/>
          <w:sz w:val="36"/>
        </w:rPr>
        <w:t>Universal Safety Products, Inc. (UUU)</w:t>
      </w:r>
    </w:p>
    <w:p>
      <w:pPr>
        <w:spacing w:after="40"/>
        <w:jc w:val="center"/>
      </w:pPr>
      <w:r>
        <w:rPr>
          <w:color w:val="555555"/>
          <w:sz w:val="24"/>
        </w:rPr>
        <w:t>Deep Financial Research Report</w:t>
      </w:r>
    </w:p>
    <w:p>
      <w:pPr>
        <w:spacing w:after="240"/>
        <w:jc w:val="center"/>
      </w:pPr>
      <w:r>
        <w:rPr>
          <w:i/>
          <w:color w:val="888888"/>
          <w:sz w:val="18"/>
        </w:rPr>
        <w:t>Generated: April 04, 2026  |  Exchange: NYSE American (AMEX)  |  Sector: Consumer Products / Safety</w:t>
      </w:r>
    </w:p>
    <w:p/>
    <w:p>
      <w:pPr>
        <w:spacing w:before="280" w:after="80"/>
        <w:pBdr>
          <w:bottom w:val="single" w:sz="6" w:space="1" w:color="1A376C"/>
        </w:pBdr>
      </w:pPr>
      <w:r>
        <w:rPr>
          <w:b/>
          <w:color w:val="1A376C"/>
          <w:sz w:val="23"/>
        </w:rPr>
        <w:t>MARKET SNAPSHOT (AS OF APRIL 4, 2026)</w:t>
      </w:r>
    </w:p>
    <w:tbl>
      <w:tblPr>
        <w:tblStyle w:val="TableGrid"/>
        <w:tblW w:type="auto" w:w="0"/>
        <w:jc w:val="center"/>
        <w:tblLook w:firstColumn="1" w:firstRow="1" w:lastColumn="0" w:lastRow="0" w:noHBand="0" w:noVBand="1" w:val="04A0"/>
      </w:tblPr>
      <w:tblGrid>
        <w:gridCol w:w="4536"/>
        <w:gridCol w:w="4536"/>
      </w:tblGrid>
      <w:tr>
        <w:tc>
          <w:tcPr>
            <w:tcW w:type="dxa" w:w="4032"/>
            <w:shd w:val="clear" w:color="auto" w:fill="EEF2F8"/>
          </w:tcPr>
          <w:p>
            <w:r>
              <w:rPr>
                <w:b/>
                <w:sz w:val="20"/>
              </w:rPr>
              <w:t>Current Price</w:t>
            </w:r>
          </w:p>
        </w:tc>
        <w:tc>
          <w:tcPr>
            <w:tcW w:type="dxa" w:w="4032"/>
            <w:shd w:val="clear" w:color="auto" w:fill="EEF2F8"/>
          </w:tcPr>
          <w:p>
            <w:r>
              <w:rPr>
                <w:sz w:val="20"/>
              </w:rPr>
              <w:t>$5.94</w:t>
            </w:r>
          </w:p>
        </w:tc>
      </w:tr>
      <w:tr>
        <w:tc>
          <w:tcPr>
            <w:tcW w:type="dxa" w:w="4032"/>
            <w:shd w:val="clear" w:color="auto" w:fill="FFFFFF"/>
          </w:tcPr>
          <w:p>
            <w:r>
              <w:rPr>
                <w:b/>
                <w:sz w:val="20"/>
              </w:rPr>
              <w:t>Market Capitalization</w:t>
            </w:r>
          </w:p>
        </w:tc>
        <w:tc>
          <w:tcPr>
            <w:tcW w:type="dxa" w:w="4032"/>
            <w:shd w:val="clear" w:color="auto" w:fill="FFFFFF"/>
          </w:tcPr>
          <w:p>
            <w:r>
              <w:rPr>
                <w:sz w:val="20"/>
              </w:rPr>
              <w:t>~$16.1M</w:t>
            </w:r>
          </w:p>
        </w:tc>
      </w:tr>
      <w:tr>
        <w:tc>
          <w:tcPr>
            <w:tcW w:type="dxa" w:w="4032"/>
            <w:shd w:val="clear" w:color="auto" w:fill="EEF2F8"/>
          </w:tcPr>
          <w:p>
            <w:r>
              <w:rPr>
                <w:b/>
                <w:sz w:val="20"/>
              </w:rPr>
              <w:t>Shares Outstanding</w:t>
            </w:r>
          </w:p>
        </w:tc>
        <w:tc>
          <w:tcPr>
            <w:tcW w:type="dxa" w:w="4032"/>
            <w:shd w:val="clear" w:color="auto" w:fill="EEF2F8"/>
          </w:tcPr>
          <w:p>
            <w:r>
              <w:rPr>
                <w:sz w:val="20"/>
              </w:rPr>
              <w:t>2,717,787</w:t>
            </w:r>
          </w:p>
        </w:tc>
      </w:tr>
      <w:tr>
        <w:tc>
          <w:tcPr>
            <w:tcW w:type="dxa" w:w="4032"/>
            <w:shd w:val="clear" w:color="auto" w:fill="FFFFFF"/>
          </w:tcPr>
          <w:p>
            <w:r>
              <w:rPr>
                <w:b/>
                <w:sz w:val="20"/>
              </w:rPr>
              <w:t>52-Week Range</w:t>
            </w:r>
          </w:p>
        </w:tc>
        <w:tc>
          <w:tcPr>
            <w:tcW w:type="dxa" w:w="4032"/>
            <w:shd w:val="clear" w:color="auto" w:fill="FFFFFF"/>
          </w:tcPr>
          <w:p>
            <w:r>
              <w:rPr>
                <w:sz w:val="20"/>
              </w:rPr>
              <w:t>$1.65 – $8.27</w:t>
            </w:r>
          </w:p>
        </w:tc>
      </w:tr>
      <w:tr>
        <w:tc>
          <w:tcPr>
            <w:tcW w:type="dxa" w:w="4032"/>
            <w:shd w:val="clear" w:color="auto" w:fill="EEF2F8"/>
          </w:tcPr>
          <w:p>
            <w:r>
              <w:rPr>
                <w:b/>
                <w:sz w:val="20"/>
              </w:rPr>
              <w:t>12-Month Return</w:t>
            </w:r>
          </w:p>
        </w:tc>
        <w:tc>
          <w:tcPr>
            <w:tcW w:type="dxa" w:w="4032"/>
            <w:shd w:val="clear" w:color="auto" w:fill="EEF2F8"/>
          </w:tcPr>
          <w:p>
            <w:r>
              <w:rPr>
                <w:sz w:val="20"/>
              </w:rPr>
              <w:t>+232.8%</w:t>
            </w:r>
          </w:p>
        </w:tc>
      </w:tr>
      <w:tr>
        <w:tc>
          <w:tcPr>
            <w:tcW w:type="dxa" w:w="4032"/>
            <w:shd w:val="clear" w:color="auto" w:fill="FFFFFF"/>
          </w:tcPr>
          <w:p>
            <w:r>
              <w:rPr>
                <w:b/>
                <w:sz w:val="20"/>
              </w:rPr>
              <w:t>Cash &amp; Equivalents (Sep 30, 2025)</w:t>
            </w:r>
          </w:p>
        </w:tc>
        <w:tc>
          <w:tcPr>
            <w:tcW w:type="dxa" w:w="4032"/>
            <w:shd w:val="clear" w:color="auto" w:fill="FFFFFF"/>
          </w:tcPr>
          <w:p>
            <w:r>
              <w:rPr>
                <w:sz w:val="20"/>
              </w:rPr>
              <w:t>$5.23M</w:t>
            </w:r>
          </w:p>
        </w:tc>
      </w:tr>
      <w:tr>
        <w:tc>
          <w:tcPr>
            <w:tcW w:type="dxa" w:w="4032"/>
            <w:shd w:val="clear" w:color="auto" w:fill="EEF2F8"/>
          </w:tcPr>
          <w:p>
            <w:r>
              <w:rPr>
                <w:b/>
                <w:sz w:val="20"/>
              </w:rPr>
              <w:t>Total Assets (Sep 30, 2025)</w:t>
            </w:r>
          </w:p>
        </w:tc>
        <w:tc>
          <w:tcPr>
            <w:tcW w:type="dxa" w:w="4032"/>
            <w:shd w:val="clear" w:color="auto" w:fill="EEF2F8"/>
          </w:tcPr>
          <w:p>
            <w:r>
              <w:rPr>
                <w:sz w:val="20"/>
              </w:rPr>
              <w:t>$6.77M</w:t>
            </w:r>
          </w:p>
        </w:tc>
      </w:tr>
      <w:tr>
        <w:tc>
          <w:tcPr>
            <w:tcW w:type="dxa" w:w="4032"/>
            <w:shd w:val="clear" w:color="auto" w:fill="FFFFFF"/>
          </w:tcPr>
          <w:p>
            <w:r>
              <w:rPr>
                <w:b/>
                <w:sz w:val="20"/>
              </w:rPr>
              <w:t>Current Ratio</w:t>
            </w:r>
          </w:p>
        </w:tc>
        <w:tc>
          <w:tcPr>
            <w:tcW w:type="dxa" w:w="4032"/>
            <w:shd w:val="clear" w:color="auto" w:fill="FFFFFF"/>
          </w:tcPr>
          <w:p>
            <w:r>
              <w:rPr>
                <w:sz w:val="20"/>
              </w:rPr>
              <w:t>12.5x</w:t>
            </w:r>
          </w:p>
        </w:tc>
      </w:tr>
      <w:tr>
        <w:tc>
          <w:tcPr>
            <w:tcW w:type="dxa" w:w="4032"/>
            <w:shd w:val="clear" w:color="auto" w:fill="EEF2F8"/>
          </w:tcPr>
          <w:p>
            <w:r>
              <w:rPr>
                <w:b/>
                <w:sz w:val="20"/>
              </w:rPr>
              <w:t>Total Debt</w:t>
            </w:r>
          </w:p>
        </w:tc>
        <w:tc>
          <w:tcPr>
            <w:tcW w:type="dxa" w:w="4032"/>
            <w:shd w:val="clear" w:color="auto" w:fill="EEF2F8"/>
          </w:tcPr>
          <w:p>
            <w:r>
              <w:rPr>
                <w:sz w:val="20"/>
              </w:rPr>
              <w:t>Minimal / None</w:t>
            </w:r>
          </w:p>
        </w:tc>
      </w:tr>
      <w:tr>
        <w:tc>
          <w:tcPr>
            <w:tcW w:type="dxa" w:w="4032"/>
            <w:shd w:val="clear" w:color="auto" w:fill="FFFFFF"/>
          </w:tcPr>
          <w:p>
            <w:r>
              <w:rPr>
                <w:b/>
                <w:sz w:val="20"/>
              </w:rPr>
              <w:t>Employees</w:t>
            </w:r>
          </w:p>
        </w:tc>
        <w:tc>
          <w:tcPr>
            <w:tcW w:type="dxa" w:w="4032"/>
            <w:shd w:val="clear" w:color="auto" w:fill="FFFFFF"/>
          </w:tcPr>
          <w:p>
            <w:r>
              <w:rPr>
                <w:sz w:val="20"/>
              </w:rPr>
              <w:t>~11</w:t>
            </w:r>
          </w:p>
        </w:tc>
      </w:tr>
      <w:tr>
        <w:tc>
          <w:tcPr>
            <w:tcW w:type="dxa" w:w="4032"/>
            <w:shd w:val="clear" w:color="auto" w:fill="EEF2F8"/>
          </w:tcPr>
          <w:p>
            <w:r>
              <w:rPr>
                <w:b/>
                <w:sz w:val="20"/>
              </w:rPr>
              <w:t>Analyst Rating (Zacks)</w:t>
            </w:r>
          </w:p>
        </w:tc>
        <w:tc>
          <w:tcPr>
            <w:tcW w:type="dxa" w:w="4032"/>
            <w:shd w:val="clear" w:color="auto" w:fill="EEF2F8"/>
          </w:tcPr>
          <w:p>
            <w:r>
              <w:rPr>
                <w:sz w:val="20"/>
              </w:rPr>
              <w:t>Neutral</w:t>
            </w:r>
          </w:p>
        </w:tc>
      </w:tr>
    </w:tbl>
    <w:p>
      <w:pPr>
        <w:spacing w:before="280" w:after="80"/>
        <w:pBdr>
          <w:bottom w:val="single" w:sz="6" w:space="1" w:color="1A376C"/>
        </w:pBdr>
      </w:pPr>
      <w:r>
        <w:rPr>
          <w:b/>
          <w:color w:val="1A376C"/>
          <w:sz w:val="23"/>
        </w:rPr>
        <w:t>BUSINESS OVERVIEW</w:t>
      </w:r>
    </w:p>
    <w:p>
      <w:pPr>
        <w:spacing w:before="0" w:after="120"/>
      </w:pPr>
      <w:r>
        <w:rPr>
          <w:b w:val="0"/>
          <w:sz w:val="21"/>
        </w:rPr>
        <w:t>Universal Safety Products, Inc. (formerly Universal Security Instruments, Inc.) is a Maryland-based company founded in 1969 that historically designed and distributed smoke alarms, carbon monoxide alarms, and home safety devices. In May 2025, the company completed a transformative asset sale — divesting its core smoke and CO alarm business to Feit Electric Company for $6 million in cash. Following this divestiture, the company retains its wiring devices and bath fans product lines and is actively exploring new business opportunities. The company now operates with approximately 11 employees and trades on NYSE American under the ticker UUU.</w:t>
      </w:r>
    </w:p>
    <w:p>
      <w:pPr>
        <w:spacing w:before="280" w:after="80"/>
        <w:pBdr>
          <w:bottom w:val="single" w:sz="6" w:space="1" w:color="1A376C"/>
        </w:pBdr>
      </w:pPr>
      <w:r>
        <w:rPr>
          <w:b/>
          <w:color w:val="1A376C"/>
          <w:sz w:val="23"/>
        </w:rPr>
        <w:t>FINANCIAL PERFORMANCE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A376C"/>
          </w:tcPr>
          <w:p>
            <w:r>
              <w:rPr>
                <w:b/>
                <w:color w:val="FFFFFF"/>
                <w:sz w:val="19"/>
              </w:rPr>
              <w:t>Period</w:t>
            </w:r>
          </w:p>
        </w:tc>
        <w:tc>
          <w:tcPr>
            <w:tcW w:type="dxa" w:w="1814"/>
            <w:shd w:val="clear" w:color="auto" w:fill="1A376C"/>
          </w:tcPr>
          <w:p>
            <w:r>
              <w:rPr>
                <w:b/>
                <w:color w:val="FFFFFF"/>
                <w:sz w:val="19"/>
              </w:rPr>
              <w:t>Revenue</w:t>
            </w:r>
          </w:p>
        </w:tc>
        <w:tc>
          <w:tcPr>
            <w:tcW w:type="dxa" w:w="1814"/>
            <w:shd w:val="clear" w:color="auto" w:fill="1A376C"/>
          </w:tcPr>
          <w:p>
            <w:r>
              <w:rPr>
                <w:b/>
                <w:color w:val="FFFFFF"/>
                <w:sz w:val="19"/>
              </w:rPr>
              <w:t>Net Income / (Loss)</w:t>
            </w:r>
          </w:p>
        </w:tc>
        <w:tc>
          <w:tcPr>
            <w:tcW w:type="dxa" w:w="1814"/>
            <w:shd w:val="clear" w:color="auto" w:fill="1A376C"/>
          </w:tcPr>
          <w:p>
            <w:r>
              <w:rPr>
                <w:b/>
                <w:color w:val="FFFFFF"/>
                <w:sz w:val="19"/>
              </w:rPr>
              <w:t>EPS</w:t>
            </w:r>
          </w:p>
        </w:tc>
        <w:tc>
          <w:tcPr>
            <w:tcW w:type="dxa" w:w="1814"/>
            <w:shd w:val="clear" w:color="auto" w:fill="1A376C"/>
          </w:tcPr>
          <w:p>
            <w:r>
              <w:rPr>
                <w:b/>
                <w:color w:val="FFFFFF"/>
                <w:sz w:val="19"/>
              </w:rPr>
              <w:t>Key Driver</w:t>
            </w:r>
          </w:p>
        </w:tc>
      </w:tr>
      <w:tr>
        <w:tc>
          <w:tcPr>
            <w:tcW w:type="dxa" w:w="1814"/>
            <w:shd w:val="clear" w:color="auto" w:fill="FFFFFF"/>
          </w:tcPr>
          <w:p>
            <w:r>
              <w:rPr>
                <w:b w:val="0"/>
                <w:sz w:val="19"/>
              </w:rPr>
              <w:t>FY2025 (ended Mar 31, 2025)</w:t>
            </w:r>
          </w:p>
        </w:tc>
        <w:tc>
          <w:tcPr>
            <w:tcW w:type="dxa" w:w="1814"/>
            <w:shd w:val="clear" w:color="auto" w:fill="FFFFFF"/>
          </w:tcPr>
          <w:p>
            <w:r>
              <w:rPr>
                <w:b w:val="0"/>
                <w:sz w:val="19"/>
              </w:rPr>
              <w:t>$23.56M</w:t>
            </w:r>
          </w:p>
        </w:tc>
        <w:tc>
          <w:tcPr>
            <w:tcW w:type="dxa" w:w="1814"/>
            <w:shd w:val="clear" w:color="auto" w:fill="FFFFFF"/>
          </w:tcPr>
          <w:p>
            <w:r>
              <w:rPr>
                <w:b w:val="0"/>
                <w:sz w:val="19"/>
              </w:rPr>
              <w:t>$500,684</w:t>
            </w:r>
          </w:p>
        </w:tc>
        <w:tc>
          <w:tcPr>
            <w:tcW w:type="dxa" w:w="1814"/>
            <w:shd w:val="clear" w:color="auto" w:fill="FFFFFF"/>
          </w:tcPr>
          <w:p>
            <w:r>
              <w:rPr>
                <w:b w:val="0"/>
                <w:sz w:val="19"/>
              </w:rPr>
              <w:t>$0.22</w:t>
            </w:r>
          </w:p>
        </w:tc>
        <w:tc>
          <w:tcPr>
            <w:tcW w:type="dxa" w:w="1814"/>
            <w:shd w:val="clear" w:color="auto" w:fill="FFFFFF"/>
          </w:tcPr>
          <w:p>
            <w:r>
              <w:rPr>
                <w:b w:val="0"/>
                <w:sz w:val="19"/>
              </w:rPr>
              <w:t>Full-year alarm business</w:t>
            </w:r>
          </w:p>
        </w:tc>
      </w:tr>
      <w:tr>
        <w:tc>
          <w:tcPr>
            <w:tcW w:type="dxa" w:w="1814"/>
            <w:shd w:val="clear" w:color="auto" w:fill="F0F4FA"/>
          </w:tcPr>
          <w:p>
            <w:r>
              <w:rPr>
                <w:b w:val="0"/>
                <w:sz w:val="19"/>
              </w:rPr>
              <w:t>Q4 FY2025 (Jan–Mar 2025)</w:t>
            </w:r>
          </w:p>
        </w:tc>
        <w:tc>
          <w:tcPr>
            <w:tcW w:type="dxa" w:w="1814"/>
            <w:shd w:val="clear" w:color="auto" w:fill="F0F4FA"/>
          </w:tcPr>
          <w:p>
            <w:r>
              <w:rPr>
                <w:b w:val="0"/>
                <w:sz w:val="19"/>
              </w:rPr>
              <w:t>$6.23M</w:t>
            </w:r>
          </w:p>
        </w:tc>
        <w:tc>
          <w:tcPr>
            <w:tcW w:type="dxa" w:w="1814"/>
            <w:shd w:val="clear" w:color="auto" w:fill="F0F4FA"/>
          </w:tcPr>
          <w:p>
            <w:r>
              <w:rPr>
                <w:b w:val="0"/>
                <w:sz w:val="19"/>
              </w:rPr>
              <w:t>$1.30M</w:t>
            </w:r>
          </w:p>
        </w:tc>
        <w:tc>
          <w:tcPr>
            <w:tcW w:type="dxa" w:w="1814"/>
            <w:shd w:val="clear" w:color="auto" w:fill="F0F4FA"/>
          </w:tcPr>
          <w:p>
            <w:r>
              <w:rPr>
                <w:b w:val="0"/>
                <w:sz w:val="19"/>
              </w:rPr>
              <w:t>$0.56</w:t>
            </w:r>
          </w:p>
        </w:tc>
        <w:tc>
          <w:tcPr>
            <w:tcW w:type="dxa" w:w="1814"/>
            <w:shd w:val="clear" w:color="auto" w:fill="F0F4FA"/>
          </w:tcPr>
          <w:p>
            <w:r>
              <w:rPr>
                <w:b w:val="0"/>
                <w:sz w:val="19"/>
              </w:rPr>
              <w:t>+40% YoY sales growth</w:t>
            </w:r>
          </w:p>
        </w:tc>
      </w:tr>
      <w:tr>
        <w:tc>
          <w:tcPr>
            <w:tcW w:type="dxa" w:w="1814"/>
            <w:shd w:val="clear" w:color="auto" w:fill="FFFFFF"/>
          </w:tcPr>
          <w:p>
            <w:r>
              <w:rPr>
                <w:b w:val="0"/>
                <w:sz w:val="19"/>
              </w:rPr>
              <w:t>H1 FY2026 (Apr–Sep 2025)</w:t>
            </w:r>
          </w:p>
        </w:tc>
        <w:tc>
          <w:tcPr>
            <w:tcW w:type="dxa" w:w="1814"/>
            <w:shd w:val="clear" w:color="auto" w:fill="FFFFFF"/>
          </w:tcPr>
          <w:p>
            <w:r>
              <w:rPr>
                <w:b w:val="0"/>
                <w:sz w:val="19"/>
              </w:rPr>
              <w:t>$4.58M</w:t>
            </w:r>
          </w:p>
        </w:tc>
        <w:tc>
          <w:tcPr>
            <w:tcW w:type="dxa" w:w="1814"/>
            <w:shd w:val="clear" w:color="auto" w:fill="FFFFFF"/>
          </w:tcPr>
          <w:p>
            <w:r>
              <w:rPr>
                <w:b w:val="0"/>
                <w:sz w:val="19"/>
              </w:rPr>
              <w:t>$810,541</w:t>
            </w:r>
          </w:p>
        </w:tc>
        <w:tc>
          <w:tcPr>
            <w:tcW w:type="dxa" w:w="1814"/>
            <w:shd w:val="clear" w:color="auto" w:fill="FFFFFF"/>
          </w:tcPr>
          <w:p>
            <w:r>
              <w:rPr>
                <w:b w:val="0"/>
                <w:sz w:val="19"/>
              </w:rPr>
              <w:t>$0.35</w:t>
            </w:r>
          </w:p>
        </w:tc>
        <w:tc>
          <w:tcPr>
            <w:tcW w:type="dxa" w:w="1814"/>
            <w:shd w:val="clear" w:color="auto" w:fill="FFFFFF"/>
          </w:tcPr>
          <w:p>
            <w:r>
              <w:rPr>
                <w:b w:val="0"/>
                <w:sz w:val="19"/>
              </w:rPr>
              <w:t>Includes $2.82M asset sale gain</w:t>
            </w:r>
          </w:p>
        </w:tc>
      </w:tr>
      <w:tr>
        <w:tc>
          <w:tcPr>
            <w:tcW w:type="dxa" w:w="1814"/>
            <w:shd w:val="clear" w:color="auto" w:fill="F0F4FA"/>
          </w:tcPr>
          <w:p>
            <w:r>
              <w:rPr>
                <w:b w:val="0"/>
                <w:sz w:val="19"/>
              </w:rPr>
              <w:t>Q2 FY2026 (Jul–Sep 2025)</w:t>
            </w:r>
          </w:p>
        </w:tc>
        <w:tc>
          <w:tcPr>
            <w:tcW w:type="dxa" w:w="1814"/>
            <w:shd w:val="clear" w:color="auto" w:fill="F0F4FA"/>
          </w:tcPr>
          <w:p>
            <w:r>
              <w:rPr>
                <w:b w:val="0"/>
                <w:sz w:val="19"/>
              </w:rPr>
              <w:t>$0.76M</w:t>
            </w:r>
          </w:p>
        </w:tc>
        <w:tc>
          <w:tcPr>
            <w:tcW w:type="dxa" w:w="1814"/>
            <w:shd w:val="clear" w:color="auto" w:fill="F0F4FA"/>
          </w:tcPr>
          <w:p>
            <w:r>
              <w:rPr>
                <w:b w:val="0"/>
                <w:sz w:val="19"/>
              </w:rPr>
              <w:t>($999,780)</w:t>
            </w:r>
          </w:p>
        </w:tc>
        <w:tc>
          <w:tcPr>
            <w:tcW w:type="dxa" w:w="1814"/>
            <w:shd w:val="clear" w:color="auto" w:fill="F0F4FA"/>
          </w:tcPr>
          <w:p>
            <w:r>
              <w:rPr>
                <w:b w:val="0"/>
                <w:sz w:val="19"/>
              </w:rPr>
              <w:t>($0.43)</w:t>
            </w:r>
          </w:p>
        </w:tc>
        <w:tc>
          <w:tcPr>
            <w:tcW w:type="dxa" w:w="1814"/>
            <w:shd w:val="clear" w:color="auto" w:fill="F0F4FA"/>
          </w:tcPr>
          <w:p>
            <w:r>
              <w:rPr>
                <w:b w:val="0"/>
                <w:sz w:val="19"/>
              </w:rPr>
              <w:t>Post-divestiture; 89% revenue drop</w:t>
            </w:r>
          </w:p>
        </w:tc>
      </w:tr>
    </w:tbl>
    <w:p>
      <w:pPr>
        <w:spacing w:before="0" w:after="120"/>
      </w:pPr>
      <w:r>
        <w:rPr>
          <w:b w:val="0"/>
          <w:color w:val="666666"/>
          <w:sz w:val="19"/>
        </w:rPr>
        <w:t>Note: FY2026 operates on an April–March fiscal year. Revenue collapse in Q2 FY2026 reflects the removal of smoke/CO alarm revenues post-sale. Net income in H1 FY2026 was propped up by the one-time $2.82M gain from the Feit Electric transaction.</w:t>
      </w:r>
    </w:p>
    <w:p>
      <w:pPr>
        <w:spacing w:before="280" w:after="80"/>
        <w:pBdr>
          <w:bottom w:val="single" w:sz="6" w:space="1" w:color="1A376C"/>
        </w:pBdr>
      </w:pPr>
      <w:r>
        <w:rPr>
          <w:b/>
          <w:color w:val="1A376C"/>
          <w:sz w:val="23"/>
        </w:rPr>
        <w:t>RECENT DEVELOPMENTS</w:t>
      </w:r>
    </w:p>
    <w:p>
      <w:pPr>
        <w:spacing w:before="80" w:after="60"/>
      </w:pPr>
      <w:r>
        <w:rPr>
          <w:b/>
          <w:sz w:val="21"/>
        </w:rPr>
        <w:t xml:space="preserve">May 2025 — Core Asset Divestiture: </w:t>
      </w:r>
      <w:r>
        <w:rPr>
          <w:sz w:val="21"/>
        </w:rPr>
        <w:t>Feit Electric acquired USI's smoke alarm and CO alarm assets and brand for $6M cash, closing May 22, 2025. The transaction described as a 'distressed deal' generated a $2.82M accounting gain.</w:t>
      </w:r>
    </w:p>
    <w:p>
      <w:pPr>
        <w:spacing w:before="80" w:after="60"/>
      </w:pPr>
      <w:r>
        <w:rPr>
          <w:b/>
          <w:sz w:val="21"/>
        </w:rPr>
        <w:t xml:space="preserve">April 2025 — Corporate Rebrand: </w:t>
      </w:r>
      <w:r>
        <w:rPr>
          <w:sz w:val="21"/>
        </w:rPr>
        <w:t>Universal Security Instruments, Inc. officially changed its name to Universal Safety Products, Inc., reflecting the strategic pivot away from its legacy product identity.</w:t>
      </w:r>
    </w:p>
    <w:p>
      <w:pPr>
        <w:spacing w:before="80" w:after="60"/>
      </w:pPr>
      <w:r>
        <w:rPr>
          <w:b/>
          <w:sz w:val="21"/>
        </w:rPr>
        <w:t xml:space="preserve">September 2025 — Special Dividend: </w:t>
      </w:r>
      <w:r>
        <w:rPr>
          <w:sz w:val="21"/>
        </w:rPr>
        <w:t>The company declared a one-time $1.00 per share special cash dividend, paid September 25, 2025, returning ~$2.72M to shareholders. CEO Harvey B. Grossblatt emphasized retaining capital for future growth.</w:t>
      </w:r>
    </w:p>
    <w:p>
      <w:pPr>
        <w:spacing w:before="80" w:after="60"/>
      </w:pPr>
      <w:r>
        <w:rPr>
          <w:b/>
          <w:sz w:val="21"/>
        </w:rPr>
        <w:t xml:space="preserve">March 2026 — Aggressive Insider Buying: </w:t>
      </w:r>
      <w:r>
        <w:rPr>
          <w:sz w:val="21"/>
        </w:rPr>
        <w:t>Director Milton C. Ault III and affiliated entities (Ault Lending, Hyperscale Data, Alpha Structured Finance) acquired over 130,000 shares in March 2026 alone, at prices ranging $5.30–$6.35, boosting Ault's beneficial ownership to 21.1% (585,330 shares).</w:t>
      </w:r>
    </w:p>
    <w:p>
      <w:pPr>
        <w:spacing w:before="80" w:after="60"/>
      </w:pPr>
      <w:r>
        <w:rPr>
          <w:b/>
          <w:sz w:val="21"/>
        </w:rPr>
        <w:t xml:space="preserve">Macro Headwind — Tariff Pressures: </w:t>
      </w:r>
      <w:r>
        <w:rPr>
          <w:sz w:val="21"/>
        </w:rPr>
        <w:t>Management cited increased import tariffs across all remaining product lines as a material headwind to ongoing revenues in the wiring devices and bath fans segments.</w:t>
      </w:r>
    </w:p>
    <w:p>
      <w:pPr>
        <w:spacing w:before="280" w:after="80"/>
        <w:pBdr>
          <w:bottom w:val="single" w:sz="6" w:space="1" w:color="1A376C"/>
        </w:pBdr>
      </w:pPr>
      <w:r>
        <w:rPr>
          <w:b/>
          <w:color w:val="1A376C"/>
          <w:sz w:val="23"/>
        </w:rPr>
        <w:t>INSIDER OWNERSHIP &amp; TRADING ACTIVITY</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A376C"/>
          </w:tcPr>
          <w:p>
            <w:r>
              <w:rPr>
                <w:b/>
                <w:color w:val="FFFFFF"/>
                <w:sz w:val="19"/>
              </w:rPr>
              <w:t>Date</w:t>
            </w:r>
          </w:p>
        </w:tc>
        <w:tc>
          <w:tcPr>
            <w:tcW w:type="dxa" w:w="1814"/>
            <w:shd w:val="clear" w:color="auto" w:fill="1A376C"/>
          </w:tcPr>
          <w:p>
            <w:r>
              <w:rPr>
                <w:b/>
                <w:color w:val="FFFFFF"/>
                <w:sz w:val="19"/>
              </w:rPr>
              <w:t>Insider / Entity</w:t>
            </w:r>
          </w:p>
        </w:tc>
        <w:tc>
          <w:tcPr>
            <w:tcW w:type="dxa" w:w="1814"/>
            <w:shd w:val="clear" w:color="auto" w:fill="1A376C"/>
          </w:tcPr>
          <w:p>
            <w:r>
              <w:rPr>
                <w:b/>
                <w:color w:val="FFFFFF"/>
                <w:sz w:val="19"/>
              </w:rPr>
              <w:t>Shares Acquired</w:t>
            </w:r>
          </w:p>
        </w:tc>
        <w:tc>
          <w:tcPr>
            <w:tcW w:type="dxa" w:w="1814"/>
            <w:shd w:val="clear" w:color="auto" w:fill="1A376C"/>
          </w:tcPr>
          <w:p>
            <w:r>
              <w:rPr>
                <w:b/>
                <w:color w:val="FFFFFF"/>
                <w:sz w:val="19"/>
              </w:rPr>
              <w:t>Price Range</w:t>
            </w:r>
          </w:p>
        </w:tc>
        <w:tc>
          <w:tcPr>
            <w:tcW w:type="dxa" w:w="1814"/>
            <w:shd w:val="clear" w:color="auto" w:fill="1A376C"/>
          </w:tcPr>
          <w:p>
            <w:r>
              <w:rPr>
                <w:b/>
                <w:color w:val="FFFFFF"/>
                <w:sz w:val="19"/>
              </w:rPr>
              <w:t>Cumulative Ownership</w:t>
            </w:r>
          </w:p>
        </w:tc>
      </w:tr>
      <w:tr>
        <w:tc>
          <w:tcPr>
            <w:tcW w:type="dxa" w:w="1814"/>
            <w:shd w:val="clear" w:color="auto" w:fill="FFFFFF"/>
          </w:tcPr>
          <w:p>
            <w:r>
              <w:rPr>
                <w:b w:val="0"/>
                <w:sz w:val="19"/>
              </w:rPr>
              <w:t>Mar 10–12, 2026</w:t>
            </w:r>
          </w:p>
        </w:tc>
        <w:tc>
          <w:tcPr>
            <w:tcW w:type="dxa" w:w="1814"/>
            <w:shd w:val="clear" w:color="auto" w:fill="FFFFFF"/>
          </w:tcPr>
          <w:p>
            <w:r>
              <w:rPr>
                <w:b w:val="0"/>
                <w:sz w:val="19"/>
              </w:rPr>
              <w:t>Ault Lending / Alpha SF / Ault &amp; Co.</w:t>
            </w:r>
          </w:p>
        </w:tc>
        <w:tc>
          <w:tcPr>
            <w:tcW w:type="dxa" w:w="1814"/>
            <w:shd w:val="clear" w:color="auto" w:fill="FFFFFF"/>
          </w:tcPr>
          <w:p>
            <w:r>
              <w:rPr>
                <w:b w:val="0"/>
                <w:sz w:val="19"/>
              </w:rPr>
              <w:t>60,500</w:t>
            </w:r>
          </w:p>
        </w:tc>
        <w:tc>
          <w:tcPr>
            <w:tcW w:type="dxa" w:w="1814"/>
            <w:shd w:val="clear" w:color="auto" w:fill="FFFFFF"/>
          </w:tcPr>
          <w:p>
            <w:r>
              <w:rPr>
                <w:b w:val="0"/>
                <w:sz w:val="19"/>
              </w:rPr>
              <w:t>$5.30–$5.89</w:t>
            </w:r>
          </w:p>
        </w:tc>
        <w:tc>
          <w:tcPr>
            <w:tcW w:type="dxa" w:w="1814"/>
            <w:shd w:val="clear" w:color="auto" w:fill="FFFFFF"/>
          </w:tcPr>
          <w:p>
            <w:r>
              <w:rPr>
                <w:b w:val="0"/>
                <w:sz w:val="19"/>
              </w:rPr>
              <w:t>~21%</w:t>
            </w:r>
          </w:p>
        </w:tc>
      </w:tr>
      <w:tr>
        <w:tc>
          <w:tcPr>
            <w:tcW w:type="dxa" w:w="1814"/>
            <w:shd w:val="clear" w:color="auto" w:fill="F0F4FA"/>
          </w:tcPr>
          <w:p>
            <w:r>
              <w:rPr>
                <w:b w:val="0"/>
                <w:sz w:val="19"/>
              </w:rPr>
              <w:t>Mar 2–3, 2026</w:t>
            </w:r>
          </w:p>
        </w:tc>
        <w:tc>
          <w:tcPr>
            <w:tcW w:type="dxa" w:w="1814"/>
            <w:shd w:val="clear" w:color="auto" w:fill="F0F4FA"/>
          </w:tcPr>
          <w:p>
            <w:r>
              <w:rPr>
                <w:b w:val="0"/>
                <w:sz w:val="19"/>
              </w:rPr>
              <w:t>Ault-affiliated entities</w:t>
            </w:r>
          </w:p>
        </w:tc>
        <w:tc>
          <w:tcPr>
            <w:tcW w:type="dxa" w:w="1814"/>
            <w:shd w:val="clear" w:color="auto" w:fill="F0F4FA"/>
          </w:tcPr>
          <w:p>
            <w:r>
              <w:rPr>
                <w:b w:val="0"/>
                <w:sz w:val="19"/>
              </w:rPr>
              <w:t>27,000</w:t>
            </w:r>
          </w:p>
        </w:tc>
        <w:tc>
          <w:tcPr>
            <w:tcW w:type="dxa" w:w="1814"/>
            <w:shd w:val="clear" w:color="auto" w:fill="F0F4FA"/>
          </w:tcPr>
          <w:p>
            <w:r>
              <w:rPr>
                <w:b w:val="0"/>
                <w:sz w:val="19"/>
              </w:rPr>
              <w:t>~$5.40–$5.60</w:t>
            </w:r>
          </w:p>
        </w:tc>
        <w:tc>
          <w:tcPr>
            <w:tcW w:type="dxa" w:w="1814"/>
            <w:shd w:val="clear" w:color="auto" w:fill="F0F4FA"/>
          </w:tcPr>
          <w:p>
            <w:r>
              <w:rPr>
                <w:b w:val="0"/>
                <w:sz w:val="19"/>
              </w:rPr>
              <w:t>~20%</w:t>
            </w:r>
          </w:p>
        </w:tc>
      </w:tr>
      <w:tr>
        <w:tc>
          <w:tcPr>
            <w:tcW w:type="dxa" w:w="1814"/>
            <w:shd w:val="clear" w:color="auto" w:fill="FFFFFF"/>
          </w:tcPr>
          <w:p>
            <w:r>
              <w:rPr>
                <w:b w:val="0"/>
                <w:sz w:val="19"/>
              </w:rPr>
              <w:t>Mar 19–23, 2026</w:t>
            </w:r>
          </w:p>
        </w:tc>
        <w:tc>
          <w:tcPr>
            <w:tcW w:type="dxa" w:w="1814"/>
            <w:shd w:val="clear" w:color="auto" w:fill="FFFFFF"/>
          </w:tcPr>
          <w:p>
            <w:r>
              <w:rPr>
                <w:b w:val="0"/>
                <w:sz w:val="19"/>
              </w:rPr>
              <w:t>Ault Lending, LLC</w:t>
            </w:r>
          </w:p>
        </w:tc>
        <w:tc>
          <w:tcPr>
            <w:tcW w:type="dxa" w:w="1814"/>
            <w:shd w:val="clear" w:color="auto" w:fill="FFFFFF"/>
          </w:tcPr>
          <w:p>
            <w:r>
              <w:rPr>
                <w:b w:val="0"/>
                <w:sz w:val="19"/>
              </w:rPr>
              <w:t>24,000</w:t>
            </w:r>
          </w:p>
        </w:tc>
        <w:tc>
          <w:tcPr>
            <w:tcW w:type="dxa" w:w="1814"/>
            <w:shd w:val="clear" w:color="auto" w:fill="FFFFFF"/>
          </w:tcPr>
          <w:p>
            <w:r>
              <w:rPr>
                <w:b w:val="0"/>
                <w:sz w:val="19"/>
              </w:rPr>
              <w:t>$6.01–$6.35</w:t>
            </w:r>
          </w:p>
        </w:tc>
        <w:tc>
          <w:tcPr>
            <w:tcW w:type="dxa" w:w="1814"/>
            <w:shd w:val="clear" w:color="auto" w:fill="FFFFFF"/>
          </w:tcPr>
          <w:p>
            <w:r>
              <w:rPr>
                <w:b w:val="0"/>
                <w:sz w:val="19"/>
              </w:rPr>
              <w:t>~21%</w:t>
            </w:r>
          </w:p>
        </w:tc>
      </w:tr>
      <w:tr>
        <w:tc>
          <w:tcPr>
            <w:tcW w:type="dxa" w:w="1814"/>
            <w:shd w:val="clear" w:color="auto" w:fill="F0F4FA"/>
          </w:tcPr>
          <w:p>
            <w:r>
              <w:rPr>
                <w:b w:val="0"/>
                <w:sz w:val="19"/>
              </w:rPr>
              <w:t>Mar 30–31, 2026</w:t>
            </w:r>
          </w:p>
        </w:tc>
        <w:tc>
          <w:tcPr>
            <w:tcW w:type="dxa" w:w="1814"/>
            <w:shd w:val="clear" w:color="auto" w:fill="F0F4FA"/>
          </w:tcPr>
          <w:p>
            <w:r>
              <w:rPr>
                <w:b w:val="0"/>
                <w:sz w:val="19"/>
              </w:rPr>
              <w:t>Ault (direct + affiliated)</w:t>
            </w:r>
          </w:p>
        </w:tc>
        <w:tc>
          <w:tcPr>
            <w:tcW w:type="dxa" w:w="1814"/>
            <w:shd w:val="clear" w:color="auto" w:fill="F0F4FA"/>
          </w:tcPr>
          <w:p>
            <w:r>
              <w:rPr>
                <w:b w:val="0"/>
                <w:sz w:val="19"/>
              </w:rPr>
              <w:t>12,608</w:t>
            </w:r>
          </w:p>
        </w:tc>
        <w:tc>
          <w:tcPr>
            <w:tcW w:type="dxa" w:w="1814"/>
            <w:shd w:val="clear" w:color="auto" w:fill="F0F4FA"/>
          </w:tcPr>
          <w:p>
            <w:r>
              <w:rPr>
                <w:b w:val="0"/>
                <w:sz w:val="19"/>
              </w:rPr>
              <w:t>Mid-$5 range</w:t>
            </w:r>
          </w:p>
        </w:tc>
        <w:tc>
          <w:tcPr>
            <w:tcW w:type="dxa" w:w="1814"/>
            <w:shd w:val="clear" w:color="auto" w:fill="F0F4FA"/>
          </w:tcPr>
          <w:p>
            <w:r>
              <w:rPr>
                <w:b w:val="0"/>
                <w:sz w:val="19"/>
              </w:rPr>
              <w:t>21.1%</w:t>
            </w:r>
          </w:p>
        </w:tc>
      </w:tr>
    </w:tbl>
    <w:p>
      <w:pPr>
        <w:spacing w:before="0" w:after="120"/>
      </w:pPr>
      <w:r>
        <w:rPr>
          <w:b w:val="0"/>
          <w:color w:val="444444"/>
          <w:sz w:val="19"/>
        </w:rPr>
        <w:t>Milton C. Ault III holds options to purchase 50,000 shares at $3.40 (fully vested Oct 2025, expiring Aug 2035). Net insider sentiment is overwhelmingly bullish — no recorded insider sells in recent filings.</w:t>
      </w:r>
    </w:p>
    <w:p>
      <w:pPr>
        <w:spacing w:before="280" w:after="80"/>
        <w:pBdr>
          <w:bottom w:val="single" w:sz="6" w:space="1" w:color="1A376C"/>
        </w:pBdr>
      </w:pPr>
      <w:r>
        <w:rPr>
          <w:b/>
          <w:color w:val="1A376C"/>
          <w:sz w:val="23"/>
        </w:rPr>
        <w:t>VALUATION ASSESSMENT — CASH SHELL / OPTIONALITY ANALYSIS</w:t>
      </w:r>
    </w:p>
    <w:p>
      <w:pPr>
        <w:spacing w:before="0" w:after="120"/>
      </w:pPr>
      <w:r>
        <w:rPr>
          <w:b w:val="0"/>
          <w:sz w:val="21"/>
        </w:rPr>
        <w:t>Given the May 2025 divestiture of UUU's core revenue-generating operations, a conventional DCF analysis is not meaningful. The company is best assessed as a cash shell with optionality value. Below is a net asset value (NAV) / liquidation framework:</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376C"/>
          </w:tcPr>
          <w:p>
            <w:r>
              <w:rPr>
                <w:b/>
                <w:color w:val="FFFFFF"/>
                <w:sz w:val="19"/>
              </w:rPr>
              <w:t>Component</w:t>
            </w:r>
          </w:p>
        </w:tc>
        <w:tc>
          <w:tcPr>
            <w:tcW w:type="dxa" w:w="3024"/>
            <w:shd w:val="clear" w:color="auto" w:fill="1A376C"/>
          </w:tcPr>
          <w:p>
            <w:r>
              <w:rPr>
                <w:b/>
                <w:color w:val="FFFFFF"/>
                <w:sz w:val="19"/>
              </w:rPr>
              <w:t>Estimated Value</w:t>
            </w:r>
          </w:p>
        </w:tc>
        <w:tc>
          <w:tcPr>
            <w:tcW w:type="dxa" w:w="3024"/>
            <w:shd w:val="clear" w:color="auto" w:fill="1A376C"/>
          </w:tcPr>
          <w:p>
            <w:r>
              <w:rPr>
                <w:b/>
                <w:color w:val="FFFFFF"/>
                <w:sz w:val="19"/>
              </w:rPr>
              <w:t>Notes</w:t>
            </w:r>
          </w:p>
        </w:tc>
      </w:tr>
      <w:tr>
        <w:tc>
          <w:tcPr>
            <w:tcW w:type="dxa" w:w="3024"/>
            <w:shd w:val="clear" w:color="auto" w:fill="FFFFFF"/>
          </w:tcPr>
          <w:p>
            <w:r>
              <w:rPr>
                <w:b w:val="0"/>
                <w:sz w:val="19"/>
              </w:rPr>
              <w:t>Cash &amp; Equivalents</w:t>
            </w:r>
          </w:p>
        </w:tc>
        <w:tc>
          <w:tcPr>
            <w:tcW w:type="dxa" w:w="3024"/>
            <w:shd w:val="clear" w:color="auto" w:fill="FFFFFF"/>
          </w:tcPr>
          <w:p>
            <w:r>
              <w:rPr>
                <w:b w:val="0"/>
                <w:sz w:val="19"/>
              </w:rPr>
              <w:t>~$5.23M</w:t>
            </w:r>
          </w:p>
        </w:tc>
        <w:tc>
          <w:tcPr>
            <w:tcW w:type="dxa" w:w="3024"/>
            <w:shd w:val="clear" w:color="auto" w:fill="FFFFFF"/>
          </w:tcPr>
          <w:p>
            <w:r>
              <w:rPr>
                <w:b w:val="0"/>
                <w:sz w:val="19"/>
              </w:rPr>
              <w:t>As of Sep 30, 2025 (post $1/share dividend)</w:t>
            </w:r>
          </w:p>
        </w:tc>
      </w:tr>
      <w:tr>
        <w:tc>
          <w:tcPr>
            <w:tcW w:type="dxa" w:w="3024"/>
            <w:shd w:val="clear" w:color="auto" w:fill="F0F4FA"/>
          </w:tcPr>
          <w:p>
            <w:r>
              <w:rPr>
                <w:b w:val="0"/>
                <w:sz w:val="19"/>
              </w:rPr>
              <w:t>Residual Operations (wiring/bath fans)</w:t>
            </w:r>
          </w:p>
        </w:tc>
        <w:tc>
          <w:tcPr>
            <w:tcW w:type="dxa" w:w="3024"/>
            <w:shd w:val="clear" w:color="auto" w:fill="F0F4FA"/>
          </w:tcPr>
          <w:p>
            <w:r>
              <w:rPr>
                <w:b w:val="0"/>
                <w:sz w:val="19"/>
              </w:rPr>
              <w:t>~$0.3–0.8M</w:t>
            </w:r>
          </w:p>
        </w:tc>
        <w:tc>
          <w:tcPr>
            <w:tcW w:type="dxa" w:w="3024"/>
            <w:shd w:val="clear" w:color="auto" w:fill="F0F4FA"/>
          </w:tcPr>
          <w:p>
            <w:r>
              <w:rPr>
                <w:b w:val="0"/>
                <w:sz w:val="19"/>
              </w:rPr>
              <w:t>Annualizing ~$1.5M rev; operating at loss</w:t>
            </w:r>
          </w:p>
        </w:tc>
      </w:tr>
      <w:tr>
        <w:tc>
          <w:tcPr>
            <w:tcW w:type="dxa" w:w="3024"/>
            <w:shd w:val="clear" w:color="auto" w:fill="FFFFFF"/>
          </w:tcPr>
          <w:p>
            <w:r>
              <w:rPr>
                <w:b w:val="0"/>
                <w:sz w:val="19"/>
              </w:rPr>
              <w:t>Inventory &amp; Other Current Assets</w:t>
            </w:r>
          </w:p>
        </w:tc>
        <w:tc>
          <w:tcPr>
            <w:tcW w:type="dxa" w:w="3024"/>
            <w:shd w:val="clear" w:color="auto" w:fill="FFFFFF"/>
          </w:tcPr>
          <w:p>
            <w:r>
              <w:rPr>
                <w:b w:val="0"/>
                <w:sz w:val="19"/>
              </w:rPr>
              <w:t>~$0.5–1.0M</w:t>
            </w:r>
          </w:p>
        </w:tc>
        <w:tc>
          <w:tcPr>
            <w:tcW w:type="dxa" w:w="3024"/>
            <w:shd w:val="clear" w:color="auto" w:fill="FFFFFF"/>
          </w:tcPr>
          <w:p>
            <w:r>
              <w:rPr>
                <w:b w:val="0"/>
                <w:sz w:val="19"/>
              </w:rPr>
              <w:t>Estimated from total assets of $6.77M</w:t>
            </w:r>
          </w:p>
        </w:tc>
      </w:tr>
      <w:tr>
        <w:tc>
          <w:tcPr>
            <w:tcW w:type="dxa" w:w="3024"/>
            <w:shd w:val="clear" w:color="auto" w:fill="FFFDE7"/>
          </w:tcPr>
          <w:p>
            <w:r>
              <w:rPr>
                <w:b/>
                <w:sz w:val="19"/>
              </w:rPr>
              <w:t>Total Estimated NAV</w:t>
            </w:r>
          </w:p>
        </w:tc>
        <w:tc>
          <w:tcPr>
            <w:tcW w:type="dxa" w:w="3024"/>
            <w:shd w:val="clear" w:color="auto" w:fill="FFFDE7"/>
          </w:tcPr>
          <w:p>
            <w:r>
              <w:rPr>
                <w:b/>
                <w:sz w:val="19"/>
              </w:rPr>
              <w:t>~$5.5–7.0M</w:t>
            </w:r>
          </w:p>
        </w:tc>
        <w:tc>
          <w:tcPr>
            <w:tcW w:type="dxa" w:w="3024"/>
            <w:shd w:val="clear" w:color="auto" w:fill="FFFDE7"/>
          </w:tcPr>
          <w:p>
            <w:r>
              <w:rPr>
                <w:b/>
                <w:sz w:val="19"/>
              </w:rPr>
            </w:r>
          </w:p>
        </w:tc>
      </w:tr>
      <w:tr>
        <w:tc>
          <w:tcPr>
            <w:tcW w:type="dxa" w:w="3024"/>
            <w:shd w:val="clear" w:color="auto" w:fill="FFFDE7"/>
          </w:tcPr>
          <w:p>
            <w:r>
              <w:rPr>
                <w:b/>
                <w:sz w:val="19"/>
              </w:rPr>
              <w:t>Current Market Cap</w:t>
            </w:r>
          </w:p>
        </w:tc>
        <w:tc>
          <w:tcPr>
            <w:tcW w:type="dxa" w:w="3024"/>
            <w:shd w:val="clear" w:color="auto" w:fill="FFFDE7"/>
          </w:tcPr>
          <w:p>
            <w:r>
              <w:rPr>
                <w:b/>
                <w:sz w:val="19"/>
              </w:rPr>
              <w:t>~$16.1M</w:t>
            </w:r>
          </w:p>
        </w:tc>
        <w:tc>
          <w:tcPr>
            <w:tcW w:type="dxa" w:w="3024"/>
            <w:shd w:val="clear" w:color="auto" w:fill="FFFDE7"/>
          </w:tcPr>
          <w:p>
            <w:r>
              <w:rPr>
                <w:b/>
                <w:sz w:val="19"/>
              </w:rPr>
              <w:t>~$5.94 × 2.72M shares</w:t>
            </w:r>
          </w:p>
        </w:tc>
      </w:tr>
      <w:tr>
        <w:tc>
          <w:tcPr>
            <w:tcW w:type="dxa" w:w="3024"/>
            <w:shd w:val="clear" w:color="auto" w:fill="FFFDE7"/>
          </w:tcPr>
          <w:p>
            <w:r>
              <w:rPr>
                <w:b/>
                <w:sz w:val="19"/>
              </w:rPr>
              <w:t>Premium to NAV</w:t>
            </w:r>
          </w:p>
        </w:tc>
        <w:tc>
          <w:tcPr>
            <w:tcW w:type="dxa" w:w="3024"/>
            <w:shd w:val="clear" w:color="auto" w:fill="FFFDE7"/>
          </w:tcPr>
          <w:p>
            <w:r>
              <w:rPr>
                <w:b/>
                <w:sz w:val="19"/>
              </w:rPr>
              <w:t>~130–190%</w:t>
            </w:r>
          </w:p>
        </w:tc>
        <w:tc>
          <w:tcPr>
            <w:tcW w:type="dxa" w:w="3024"/>
            <w:shd w:val="clear" w:color="auto" w:fill="FFFDE7"/>
          </w:tcPr>
          <w:p>
            <w:r>
              <w:rPr>
                <w:b/>
                <w:sz w:val="19"/>
              </w:rPr>
              <w:t>Market pricing in transformation optionality</w:t>
            </w:r>
          </w:p>
        </w:tc>
      </w:tr>
    </w:tbl>
    <w:p>
      <w:pPr>
        <w:spacing w:before="0" w:after="120"/>
      </w:pPr>
      <w:r>
        <w:rPr>
          <w:b w:val="0"/>
          <w:sz w:val="21"/>
        </w:rPr>
        <w:t>Conclusion: At ~$5.94, UUU trades at roughly 1.3–1.9x its estimated net asset value. The market cap premium (~$9–11M above NAV) reflects speculative optionality — primarily the expectation that Milton Ault III or management will execute a reverse merger, acquisition, or strategic pivot. This optionality is highly speculative with no timeline or confirmed strategy.</w:t>
      </w:r>
    </w:p>
    <w:p>
      <w:pPr>
        <w:spacing w:before="280" w:after="80"/>
        <w:pBdr>
          <w:bottom w:val="single" w:sz="6" w:space="1" w:color="1A376C"/>
        </w:pBdr>
      </w:pPr>
      <w:r>
        <w:rPr>
          <w:b/>
          <w:color w:val="1A376C"/>
          <w:sz w:val="23"/>
        </w:rPr>
        <w:t>BULL CASE</w:t>
      </w:r>
    </w:p>
    <w:p>
      <w:pPr>
        <w:pStyle w:val="ListBullet"/>
        <w:spacing w:after="60"/>
      </w:pPr>
      <w:r>
        <w:rPr>
          <w:sz w:val="21"/>
        </w:rPr>
        <w:t>Cash-rich micro-cap: ~$5.23M cash against $16M market cap — significant balance sheet backing (~33% cash-to-market-cap).</w:t>
      </w:r>
    </w:p>
    <w:p>
      <w:pPr>
        <w:pStyle w:val="ListBullet"/>
        <w:spacing w:after="60"/>
      </w:pPr>
      <w:r>
        <w:rPr>
          <w:sz w:val="21"/>
        </w:rPr>
        <w:t>Aggressive insider accumulation: Milton Ault III bought 130K+ shares in March 2026 alone, signalling strong conviction at current prices.</w:t>
      </w:r>
    </w:p>
    <w:p>
      <w:pPr>
        <w:pStyle w:val="ListBullet"/>
        <w:spacing w:after="60"/>
      </w:pPr>
      <w:r>
        <w:rPr>
          <w:sz w:val="21"/>
        </w:rPr>
        <w:t>Milton Ault III's track record: Known for engineering corporate transformations; his 21.1% stake and continued buying suggests a strategic play is in motion.</w:t>
      </w:r>
    </w:p>
    <w:p>
      <w:pPr>
        <w:pStyle w:val="ListBullet"/>
        <w:spacing w:after="60"/>
      </w:pPr>
      <w:r>
        <w:rPr>
          <w:sz w:val="21"/>
        </w:rPr>
        <w:t>Shell company / reverse merger optionality: With minimal operations and clean books, UUU is an attractive vehicle for a reverse merger or new business acquisition.</w:t>
      </w:r>
    </w:p>
    <w:p>
      <w:pPr>
        <w:pStyle w:val="ListBullet"/>
        <w:spacing w:after="60"/>
      </w:pPr>
      <w:r>
        <w:rPr>
          <w:sz w:val="21"/>
        </w:rPr>
        <w:t>No meaningful debt: The company has essentially no financial obligations, giving management maximum flexibility.</w:t>
      </w:r>
    </w:p>
    <w:p>
      <w:pPr>
        <w:pStyle w:val="ListBullet"/>
        <w:spacing w:after="60"/>
      </w:pPr>
      <w:r>
        <w:rPr>
          <w:sz w:val="21"/>
        </w:rPr>
        <w:t>Tariff beneficiary potential: A pivot to domestically sourced or manufactured products could benefit from the tariff environment.</w:t>
      </w:r>
    </w:p>
    <w:p>
      <w:pPr>
        <w:spacing w:before="280" w:after="80"/>
        <w:pBdr>
          <w:bottom w:val="single" w:sz="6" w:space="1" w:color="1A376C"/>
        </w:pBdr>
      </w:pPr>
      <w:r>
        <w:rPr>
          <w:b/>
          <w:color w:val="1A376C"/>
          <w:sz w:val="23"/>
        </w:rPr>
        <w:t>BEAR CASE</w:t>
      </w:r>
    </w:p>
    <w:p>
      <w:pPr>
        <w:pStyle w:val="ListBullet"/>
        <w:spacing w:after="60"/>
      </w:pPr>
      <w:r>
        <w:rPr>
          <w:sz w:val="21"/>
        </w:rPr>
        <w:t>Revenue collapse: Post-divestiture quarterly revenue of $760K (Q2 FY2026) is barely enough to sustain operations; the core business is gone.</w:t>
      </w:r>
    </w:p>
    <w:p>
      <w:pPr>
        <w:pStyle w:val="ListBullet"/>
        <w:spacing w:after="60"/>
      </w:pPr>
      <w:r>
        <w:rPr>
          <w:sz w:val="21"/>
        </w:rPr>
        <w:t>Cash burn: Operating cash flow of -$1.0M means the cash position erodes without a new revenue source.</w:t>
      </w:r>
    </w:p>
    <w:p>
      <w:pPr>
        <w:pStyle w:val="ListBullet"/>
        <w:spacing w:after="60"/>
      </w:pPr>
      <w:r>
        <w:rPr>
          <w:sz w:val="21"/>
        </w:rPr>
        <w:t>No articulated strategy: Management has not publicly committed to any specific new business direction — strategic uncertainty is high.</w:t>
      </w:r>
    </w:p>
    <w:p>
      <w:pPr>
        <w:pStyle w:val="ListBullet"/>
        <w:spacing w:after="60"/>
      </w:pPr>
      <w:r>
        <w:rPr>
          <w:sz w:val="21"/>
        </w:rPr>
        <w:t>Premium to liquidation value: Market cap is trading at a 130–190% premium to estimated NAV — requires successful pivot to justify.</w:t>
      </w:r>
    </w:p>
    <w:p>
      <w:pPr>
        <w:pStyle w:val="ListBullet"/>
        <w:spacing w:after="60"/>
      </w:pPr>
      <w:r>
        <w:rPr>
          <w:sz w:val="21"/>
        </w:rPr>
        <w:t>Extreme illiquidity: With only ~2.72M shares outstanding and 21.1% held by one insider, the free float is tiny and the stock is highly illiquid.</w:t>
      </w:r>
    </w:p>
    <w:p>
      <w:pPr>
        <w:pStyle w:val="ListBullet"/>
        <w:spacing w:after="60"/>
      </w:pPr>
      <w:r>
        <w:rPr>
          <w:sz w:val="21"/>
        </w:rPr>
        <w:t>Micro-cap / speculative: Zacks Neutral; no institutional analyst coverage; typical risks of micro-cap speculation apply.</w:t>
      </w:r>
    </w:p>
    <w:p>
      <w:pPr>
        <w:pStyle w:val="ListBullet"/>
        <w:spacing w:after="60"/>
      </w:pPr>
      <w:r>
        <w:rPr>
          <w:sz w:val="21"/>
        </w:rPr>
        <w:t>Tariff risk: Remaining wiring devices and bath fans business faces import tariff headwinds.</w:t>
      </w:r>
    </w:p>
    <w:p>
      <w:pPr>
        <w:spacing w:before="280" w:after="80"/>
        <w:pBdr>
          <w:bottom w:val="single" w:sz="6" w:space="1" w:color="1A376C"/>
        </w:pBdr>
      </w:pPr>
      <w:r>
        <w:rPr>
          <w:b/>
          <w:color w:val="1A376C"/>
          <w:sz w:val="23"/>
        </w:rPr>
        <w:t>KEY RISKS</w:t>
      </w:r>
    </w:p>
    <w:p>
      <w:pPr>
        <w:pStyle w:val="ListBullet"/>
        <w:spacing w:after="60"/>
      </w:pPr>
      <w:r>
        <w:rPr>
          <w:sz w:val="21"/>
        </w:rPr>
        <w:t>Strategic Execution Risk: The entire investment thesis rests on an undefined future pivot — probability and timeline unknown.</w:t>
      </w:r>
    </w:p>
    <w:p>
      <w:pPr>
        <w:pStyle w:val="ListBullet"/>
        <w:spacing w:after="60"/>
      </w:pPr>
      <w:r>
        <w:rPr>
          <w:sz w:val="21"/>
        </w:rPr>
        <w:t>Liquidity Risk: Extremely thin float; large bid/ask spreads and high volatility are expected.</w:t>
      </w:r>
    </w:p>
    <w:p>
      <w:pPr>
        <w:pStyle w:val="ListBullet"/>
        <w:spacing w:after="60"/>
      </w:pPr>
      <w:r>
        <w:rPr>
          <w:sz w:val="21"/>
        </w:rPr>
        <w:t>Governance Risk: One individual (Ault) controls 21.1% of voting shares, creating concentration risk.</w:t>
      </w:r>
    </w:p>
    <w:p>
      <w:pPr>
        <w:pStyle w:val="ListBullet"/>
        <w:spacing w:after="60"/>
      </w:pPr>
      <w:r>
        <w:rPr>
          <w:sz w:val="21"/>
        </w:rPr>
        <w:t>Regulatory / Tariff Risk: Remaining product lines subject to import tariff escalation.</w:t>
      </w:r>
    </w:p>
    <w:p>
      <w:pPr>
        <w:pStyle w:val="ListBullet"/>
        <w:spacing w:after="60"/>
      </w:pPr>
      <w:r>
        <w:rPr>
          <w:sz w:val="21"/>
        </w:rPr>
        <w:t>Cash Depletion Risk: If no new business is identified, cash burn will erode the balance sheet within 3–4 years.</w:t>
      </w:r>
    </w:p>
    <w:p>
      <w:pPr>
        <w:pStyle w:val="ListBullet"/>
        <w:spacing w:after="60"/>
      </w:pPr>
      <w:r>
        <w:rPr>
          <w:sz w:val="21"/>
        </w:rPr>
        <w:t>Dilution Risk: A reverse merger or acquisition may involve significant share issuance, diluting existing holders.</w:t>
      </w:r>
    </w:p>
    <w:p>
      <w:pPr>
        <w:spacing w:before="280" w:after="80"/>
        <w:pBdr>
          <w:bottom w:val="single" w:sz="6" w:space="1" w:color="1A376C"/>
        </w:pBdr>
      </w:pPr>
      <w:r>
        <w:rPr>
          <w:b/>
          <w:color w:val="1A376C"/>
          <w:sz w:val="23"/>
        </w:rPr>
        <w:t>OVERALL ASSESSMENT</w:t>
      </w:r>
    </w:p>
    <w:p>
      <w:pPr>
        <w:spacing w:before="0" w:after="120"/>
      </w:pPr>
      <w:r>
        <w:rPr>
          <w:b w:val="0"/>
          <w:sz w:val="21"/>
        </w:rPr>
        <w:t>UUU is not a conventional investment — it is a micro-cap cash shell in the early stages of a strategic transformation. The company sold its 56-year-old core business for $6M in mid-2025, returned capital to shareholders via a special dividend, and is now effectively a blank-check vehicle with $5M+ in cash and minimal residual operations. The investment case is almost entirely driven by trust in management (particularly Milton Ault III) to deploy that capital productively. The aggressive March 2026 insider buying is the single most compelling positive signal. However, the current market cap of ~$16M implies the market is already pricing in a successful transformation — leaving limited margin of safety for investors who enter at these levels without knowing the nature of the pivot.</w:t>
      </w:r>
    </w:p>
    <w:p>
      <w:pPr>
        <w:spacing w:before="160"/>
      </w:pPr>
      <w:r>
        <w:rPr>
          <w:b/>
          <w:sz w:val="21"/>
        </w:rPr>
        <w:t xml:space="preserve">Confidence Level: </w:t>
      </w:r>
      <w:r>
        <w:rPr>
          <w:sz w:val="21"/>
        </w:rPr>
        <w:t xml:space="preserve">Low-Medium  |  </w:t>
      </w:r>
      <w:r>
        <w:rPr>
          <w:b/>
          <w:sz w:val="21"/>
        </w:rPr>
        <w:t xml:space="preserve">Category: </w:t>
      </w:r>
      <w:r>
        <w:rPr>
          <w:sz w:val="21"/>
        </w:rPr>
        <w:t xml:space="preserve">Speculative / Event-Driven  |  </w:t>
      </w:r>
      <w:r>
        <w:rPr>
          <w:b/>
          <w:sz w:val="21"/>
        </w:rPr>
        <w:t xml:space="preserve">Analyst Rating: </w:t>
      </w:r>
      <w:r>
        <w:rPr>
          <w:sz w:val="21"/>
        </w:rPr>
        <w:t>Neutral (Zacks)</w:t>
      </w:r>
    </w:p>
    <w:p/>
    <w:p>
      <w:pPr>
        <w:spacing w:before="400"/>
      </w:pPr>
      <w:r>
        <w:rPr>
          <w:i/>
          <w:color w:val="888888"/>
          <w:sz w:val="17"/>
        </w:rPr>
        <w:t>DISCLAIMER: This report is generated for research and informational purposes only and does not constitute investment advice, a solicitation to buy or sell securities, or a recommendation of any kind. Financial data sourced from public filings, financial data providers, and news sources. All figures are best-effort estimates and may not reflect the most current available data. Past performance is not indicative of future results. Always conduct your own due diligence and consult a qualified financial advisor before making investment decisions.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