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COUNCIL DECISION (CFSP) 2025/2586</w:t>
      </w:r>
    </w:p>
    <w:p w:rsidR="bbc60156">
      <w:pPr>
        <w:spacing w:line="240" w:lineRule="auto" w:before="120" w:after="120"/>
        <w:ind w:left="0" w:right="0" w:firstLine="0"/>
        <w:jc w:val="center"/>
      </w:pPr>
      <w:r>
        <w:rPr>
          <w:rFonts w:ascii="Times New Roman" w:hAnsi="Times New Roman"/>
          <w:b/>
          <w:i w:val="0"/>
          <w:color w:val="000000"/>
          <w:sz w:val="24"/>
        </w:rPr>
        <w:t>of 15 December 2025</w:t>
      </w:r>
    </w:p>
    <w:p w:rsidR="4fa9e9a8">
      <w:pPr>
        <w:spacing w:line="240" w:lineRule="auto" w:before="120" w:after="120"/>
        <w:ind w:left="0" w:right="0" w:firstLine="0"/>
        <w:jc w:val="center"/>
      </w:pPr>
      <w:r>
        <w:rPr>
          <w:rFonts w:ascii="Times New Roman" w:hAnsi="Times New Roman"/>
          <w:b/>
          <w:i w:val="0"/>
          <w:color w:val="000000"/>
          <w:sz w:val="24"/>
        </w:rPr>
        <w:t>amending Decision (CFSP) 2017/2074 concerning restrictive measures in view of the situation in</w:t>
      </w:r>
    </w:p>
    <w:p w:rsidR="92f4aa2f">
      <w:pPr>
        <w:spacing w:line="240" w:lineRule="auto" w:before="120" w:after="120"/>
        <w:ind w:left="0" w:right="0" w:firstLine="0"/>
        <w:jc w:val="center"/>
      </w:pPr>
      <w:r>
        <w:rPr>
          <w:rFonts w:ascii="Times New Roman" w:hAnsi="Times New Roman"/>
          <w:b/>
          <w:i w:val="0"/>
          <w:color w:val="000000"/>
          <w:sz w:val="24"/>
        </w:rPr>
        <w:t>Venezuela</w:t>
      </w:r>
    </w:p>
    <w:p w:rsidR="cbac7d53">
      <w:pPr>
        <w:spacing w:line="240" w:lineRule="auto" w:before="120" w:after="120"/>
        <w:ind w:left="0" w:right="0" w:firstLine="0"/>
        <w:jc w:val="both"/>
      </w:pPr>
      <w:r>
        <w:rPr>
          <w:rFonts w:ascii="Times New Roman" w:hAnsi="Times New Roman"/>
          <w:b w:val="0"/>
          <w:i w:val="0"/>
          <w:color w:val="000000"/>
          <w:sz w:val="24"/>
        </w:rPr>
        <w:t>THE COUNCIL OF THE EUROPEAN UNION,</w:t>
      </w:r>
    </w:p>
    <w:p w:rsidR="62e05beb">
      <w:pPr>
        <w:spacing w:line="240" w:lineRule="auto" w:before="120" w:after="120"/>
        <w:ind w:left="0" w:right="0" w:firstLine="0"/>
        <w:jc w:val="both"/>
      </w:pPr>
      <w:r>
        <w:rPr>
          <w:rFonts w:ascii="Times New Roman" w:hAnsi="Times New Roman"/>
          <w:b w:val="0"/>
          <w:i w:val="0"/>
          <w:color w:val="000000"/>
          <w:sz w:val="24"/>
        </w:rPr>
        <w:t>Having regard to the Treaty on European Union, and in particular Article 29 thereof,</w:t>
      </w:r>
    </w:p>
    <w:p w:rsidR="69cb7e15">
      <w:pPr>
        <w:spacing w:line="240" w:lineRule="auto" w:before="120" w:after="120"/>
        <w:ind w:left="0" w:right="0" w:firstLine="0"/>
        <w:jc w:val="both"/>
      </w:pPr>
      <w:r>
        <w:rPr>
          <w:rFonts w:ascii="Times New Roman" w:hAnsi="Times New Roman"/>
          <w:b w:val="0"/>
          <w:i w:val="0"/>
          <w:color w:val="000000"/>
          <w:sz w:val="24"/>
        </w:rPr>
        <w:t>Having regard to the proposal from the High Representative of the Union for Foreign Affairs and Security Policy,</w:t>
      </w:r>
    </w:p>
    <w:p w:rsidR="c995b434">
      <w:pPr>
        <w:spacing w:line="240" w:lineRule="auto" w:before="120" w:after="120"/>
        <w:ind w:left="0" w:right="0" w:firstLine="0"/>
        <w:jc w:val="left"/>
      </w:pPr>
      <w:r>
        <w:rPr>
          <w:rFonts w:ascii="Times New Roman" w:hAnsi="Times New Roman"/>
          <w:b w:val="0"/>
          <w:i w:val="0"/>
          <w:color w:val="000000"/>
          <w:sz w:val="24"/>
        </w:rPr>
        <w:t>Whereas:</w:t>
      </w:r>
    </w:p>
    <w:p w:rsidR="f119874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On 13 November 2017, the Council adopted Decision (CFSP) 2017/2074 </w:t>
      </w:r>
      <w:r>
        <w:rPr>
          <w:rStyle w:val="FootnoteReference"/>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b3071cc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Considering the deepening political crisis in Venezuela, as well as the persistent actions undermining democracy and the rule of law, continued human rights violations and the repression of civil society and democratic opposition, including in relation to the conduct of and developments following the presidential elections of 28 July 2024, in that country, and on the basis of a review of Decision (CFSP) 2017/2074, the restrictive measures set out in that Decision should be renewed until 10 January 2027.</w:t>
      </w:r>
    </w:p>
    <w:p w:rsidR="b8aca94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Moreover, the entries for four natural persons set out in Annex I to Decision (CFSP) 2017/2074 should be updated.</w:t>
      </w:r>
    </w:p>
    <w:p w:rsidR="7c2d5b4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Decision (CFSP) 2017/2074 should therefore be amended accordingly,</w:t>
      </w:r>
    </w:p>
    <w:p w:rsidR="599be159">
      <w:pPr>
        <w:spacing w:line="240" w:lineRule="auto" w:before="120" w:after="120"/>
        <w:ind w:left="0" w:right="0" w:firstLine="0"/>
        <w:jc w:val="both"/>
      </w:pPr>
      <w:r>
        <w:rPr>
          <w:rFonts w:ascii="Times New Roman" w:hAnsi="Times New Roman"/>
          <w:b w:val="0"/>
          <w:i w:val="0"/>
          <w:color w:val="000000"/>
          <w:sz w:val="24"/>
        </w:rPr>
        <w:t>HAS ADOPTED THIS DECISION:</w:t>
      </w:r>
    </w:p>
    <w:p w:rsidR="3f3c111f">
      <w:pPr>
        <w:spacing w:line="240" w:lineRule="auto" w:before="120" w:after="120"/>
        <w:ind w:left="0" w:right="0" w:firstLine="0"/>
        <w:jc w:val="center"/>
      </w:pPr>
      <w:r>
        <w:rPr>
          <w:rFonts w:ascii="Times New Roman" w:hAnsi="Times New Roman"/>
          <w:b w:val="0"/>
          <w:i/>
          <w:color w:val="000000"/>
          <w:sz w:val="24"/>
        </w:rPr>
        <w:t>Article 1</w:t>
      </w:r>
    </w:p>
    <w:p w:rsidR="4cd67d9b">
      <w:pPr>
        <w:spacing w:line="240" w:lineRule="auto" w:before="120" w:after="120"/>
        <w:ind w:left="0" w:right="0" w:firstLine="0"/>
        <w:jc w:val="both"/>
      </w:pPr>
      <w:r>
        <w:rPr>
          <w:rFonts w:ascii="Times New Roman" w:hAnsi="Times New Roman"/>
          <w:b w:val="0"/>
          <w:i w:val="0"/>
          <w:color w:val="000000"/>
          <w:sz w:val="24"/>
        </w:rPr>
        <w:t>Decision (CFSP) 2017/2074 is amended as follows:</w:t>
      </w:r>
    </w:p>
    <w:p w:rsidR="04da4510">
      <w:pPr>
        <w:spacing w:line="240" w:lineRule="auto" w:before="120" w:after="120"/>
        <w:ind w:left="0" w:right="0" w:firstLine="0"/>
        <w:jc w:val="both"/>
      </w:pPr>
      <w:r>
        <w:rPr>
          <w:rFonts w:ascii="Times New Roman" w:hAnsi="Times New Roman"/>
          <w:b w:val="0"/>
          <w:i w:val="0"/>
          <w:color w:val="000000"/>
          <w:sz w:val="24"/>
        </w:rPr>
        <w:t>(1) in Article 13, in the first paragraph, the date ‘10 January 2026’ is replaced by that of ‘10 January 2027’;</w:t>
      </w:r>
    </w:p>
    <w:p w:rsidR="bfd76eaa">
      <w:pPr>
        <w:spacing w:line="240" w:lineRule="auto" w:before="120" w:after="120"/>
        <w:ind w:left="0" w:right="0" w:firstLine="0"/>
        <w:jc w:val="both"/>
      </w:pPr>
      <w:r>
        <w:rPr>
          <w:rFonts w:ascii="Times New Roman" w:hAnsi="Times New Roman"/>
          <w:b w:val="0"/>
          <w:i w:val="0"/>
          <w:color w:val="000000"/>
          <w:sz w:val="24"/>
        </w:rPr>
        <w:t>(2) Annex I is amended in accordance with the Annex to this Decision.</w:t>
      </w:r>
    </w:p>
    <w:p w:rsidR="8527bf8a">
      <w:pPr>
        <w:spacing w:line="240" w:lineRule="auto" w:before="120" w:after="120"/>
        <w:ind w:left="0" w:right="0" w:firstLine="0"/>
        <w:jc w:val="center"/>
      </w:pPr>
      <w:r>
        <w:rPr>
          <w:rFonts w:ascii="Times New Roman" w:hAnsi="Times New Roman"/>
          <w:b w:val="0"/>
          <w:i/>
          <w:color w:val="000000"/>
          <w:sz w:val="24"/>
        </w:rPr>
        <w:t>Article 2</w:t>
      </w:r>
    </w:p>
    <w:p w:rsidR="435dc77f">
      <w:pPr>
        <w:spacing w:line="240" w:lineRule="auto" w:before="120" w:after="120"/>
        <w:ind w:left="0" w:right="0" w:firstLine="0"/>
        <w:jc w:val="both"/>
      </w:pPr>
      <w:r>
        <w:rPr>
          <w:rFonts w:ascii="Times New Roman" w:hAnsi="Times New Roman"/>
          <w:b w:val="0"/>
          <w:i/>
          <w:color w:val="000000"/>
          <w:sz w:val="24"/>
        </w:rPr>
        <w:t>This Decision shall enter into force on the day following that of its publication in the Official Journal of the European Union.</w:t>
      </w:r>
    </w:p>
    <w:p w:rsidR="84a1e899">
      <w:pPr>
        <w:spacing w:line="240" w:lineRule="auto" w:before="120" w:after="120"/>
        <w:ind w:left="0" w:right="0" w:firstLine="0"/>
        <w:jc w:val="both"/>
      </w:pPr>
      <w:r>
        <w:rPr>
          <w:rFonts w:ascii="Times New Roman" w:hAnsi="Times New Roman"/>
          <w:b w:val="0"/>
          <w:i w:val="0"/>
          <w:color w:val="000000"/>
          <w:sz w:val="24"/>
        </w:rPr>
        <w:t>Done at Brussels, 15 December 2025.</w:t>
      </w:r>
    </w:p>
    <w:p w:rsidR="e3fdaff1">
      <w:pPr>
        <w:spacing w:line="240" w:lineRule="auto" w:before="120" w:after="120"/>
        <w:ind w:left="0" w:right="0" w:firstLine="0"/>
        <w:jc w:val="both"/>
      </w:pPr>
      <w:r>
        <w:rPr>
          <w:rFonts w:ascii="Times New Roman" w:hAnsi="Times New Roman"/>
          <w:b w:val="0"/>
          <w:i/>
          <w:color w:val="000000"/>
          <w:sz w:val="24"/>
        </w:rPr>
        <w:t>For the Council</w:t>
      </w:r>
    </w:p>
    <w:p w:rsidR="56a01eaf">
      <w:pPr>
        <w:spacing w:line="240" w:lineRule="auto" w:before="120" w:after="120"/>
        <w:ind w:left="0" w:right="0" w:firstLine="0"/>
        <w:jc w:val="both"/>
      </w:pPr>
      <w:r>
        <w:rPr>
          <w:rFonts w:ascii="Times New Roman" w:hAnsi="Times New Roman"/>
          <w:b w:val="0"/>
          <w:i/>
          <w:color w:val="000000"/>
          <w:sz w:val="24"/>
        </w:rPr>
        <w:t>The President</w:t>
      </w:r>
    </w:p>
    <w:p w:rsidR="520c6baf">
      <w:pPr>
        <w:spacing w:line="240" w:lineRule="auto" w:before="120" w:after="120"/>
        <w:ind w:left="0" w:right="0" w:firstLine="0"/>
        <w:jc w:val="both"/>
      </w:pPr>
      <w:r>
        <w:rPr>
          <w:rFonts w:ascii="Times New Roman" w:hAnsi="Times New Roman"/>
          <w:b w:val="0"/>
          <w:i w:val="0"/>
          <w:color w:val="000000"/>
          <w:sz w:val="24"/>
        </w:rPr>
        <w:t>K. KALLAS</w:t>
      </w:r>
    </w:p>
    <w:p>
      <w:pPr>
        <w:sectPr>
          <w:pgSz w:w="12240" w:h="15840"/>
          <w:pgMar w:top="1440" w:right="1800" w:bottom="1440" w:left="1800" w:header="720" w:footer="720" w:gutter="0"/>
          <w:cols w:space="720"/>
          <w:docGrid w:linePitch="360"/>
        </w:sectPr>
      </w:pPr>
    </w:p>
    <w:p w:rsidR="5588b519">
      <w:pPr>
        <w:pageBreakBefore/>
        <w:spacing w:line="240" w:lineRule="auto" w:before="120" w:after="120"/>
        <w:ind w:left="0" w:right="0" w:firstLine="0"/>
        <w:jc w:val="center"/>
      </w:pPr>
      <w:r>
        <w:rPr>
          <w:rFonts w:ascii="Times New Roman" w:hAnsi="Times New Roman"/>
          <w:b w:val="0"/>
          <w:i/>
          <w:color w:val="000000"/>
          <w:sz w:val="24"/>
        </w:rPr>
        <w:t>ANNEX</w:t>
      </w:r>
    </w:p>
    <w:p w:rsidR="00bb19ea">
      <w:pPr>
        <w:spacing w:line="240" w:lineRule="auto" w:before="120" w:after="120"/>
        <w:ind w:left="0" w:right="0" w:firstLine="0"/>
        <w:jc w:val="both"/>
      </w:pPr>
      <w:r>
        <w:rPr>
          <w:rFonts w:ascii="Times New Roman" w:hAnsi="Times New Roman"/>
          <w:b w:val="0"/>
          <w:i w:val="0"/>
          <w:color w:val="000000"/>
          <w:sz w:val="24"/>
        </w:rPr>
        <w:t>In Annex I to Decision (CFSP) 2017/2074, in the list of natural and legal persons, entities and bodies, entries 2, 11, 31 and 37 are replaced by the following:</w:t>
      </w:r>
    </w:p>
    <w:tbl>
      <w:tblPr>
        <w:tblStyle w:val="TableGrid"/>
        <w:tblW w:type="dxa" w:w="14480"/>
        <w:tblLayout w:type="fixed"/>
        <w:tblLook w:firstColumn="1" w:firstRow="1" w:lastColumn="0" w:lastRow="0" w:noHBand="0" w:noVBand="1" w:val="04A0"/>
      </w:tblPr>
      <w:tblGrid>
        <w:gridCol w:w="741"/>
        <w:gridCol w:w="2488"/>
        <w:gridCol w:w="3594"/>
        <w:gridCol w:w="6358"/>
        <w:gridCol w:w="1299"/>
      </w:tblGrid>
      <w:tr>
        <w:trPr>
          <w:cantSplit/>
          <w:tblHeader/>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Name</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Identifying information</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Reasons</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Date of listing</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‘2.</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Gustavo Enrique GONZÁLEZ LÓPEZ</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2.11.1960</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President of Petróleos de Venezuela (PDVSA). General Director of the Bolivarian National Intelligence Service (SEBIN) between April 2019 and October 2024. Security and Intelligence Adviser to President Maduro since January 2019, and General Director of SEBIN from February 2014 to October 2018. During the times he has served as SEBIN director, officials under his ultimate authority committed acts of arbitrary detention, torture and cruel and inhuman treatment, including sexual violence, in El Helicoide detention centre. As General Director of SEBIN, he is responsible for serious human rights violations, including arbitrary detention, inhuman and degrading treatment, and torture, and the repression of civil society and the democratic opposition in Venezuela.</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22.1.2018</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11.</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Iván HERNÁNDEZ DALA</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18.5.1966</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President of the National Telephone Company of Venezuela (Cantv). Major-General in FANB. Director-General of the Directorate-General for Military Counterintelligence (DGCIM) between January 2014 and October 2024 and Head of the Presidential Guard between September 2015 and October 2024. As Head of the DGCIM, Iván Hernández Dala is responsible for the repression of civil society and democratic opposition and for serious human rights violations committed by members of the DGCIM under his command, including torture, the use of excessive force and the ill-treatment of detainees.</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25.6.2018</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31.</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Jorge Elieser MÁRQUEZ MONSALVE</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20.2.1971</w:t>
            </w:r>
            <w:r>
              <w:rPr>
                <w:rFonts w:ascii="Times New Roman" w:hAnsi="Times New Roman"/>
                <w:b w:val="0"/>
                <w:i w:val="0"/>
                <w:color w:val="000000"/>
                <w:sz w:val="24"/>
              </w:rPr>
              <w:br/>
              <w:t>POB: Caracas, Venezuela</w:t>
            </w:r>
            <w:r>
              <w:rPr>
                <w:rFonts w:ascii="Times New Roman" w:hAnsi="Times New Roman"/>
                <w:b w:val="0"/>
                <w:i w:val="0"/>
                <w:color w:val="000000"/>
                <w:sz w:val="24"/>
              </w:rPr>
              <w:br/>
              <w:t>ID number: V-8714253</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Minister of Electricity and Vice-President of Public Works and Utilities since 23 April 2024. Former Minister of the Office of the Presidency and Director-General of the National Commission of Telecommunications (CONATEL) since 7 August 2017. His actions have undermined democracy or the rule of law in Venezuela, including by severely limiting the rights of the Venezuelan people to a free press, free speech and information. He used the special powers of CONATEL to silence criticism and dissidents of the regime by blocking, filtering and obstructing internet websites, by revoking existing licences for radio and television stations and by refusing to grant new ones.</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29.6.2020</w:t>
            </w:r>
          </w:p>
        </w:tc>
      </w:tr>
      <w:tr>
        <w:trPr>
          <w:cantSplit/>
        </w:trPr>
        <w:tc>
          <w:tcPr>
            <w:tcW w:type="dxa" w:w="741"/>
            <w:vAlign w:val="top"/>
          </w:tcPr>
          <w:p>
            <w:pPr>
              <w:spacing w:line="240" w:lineRule="auto" w:before="120" w:after="120"/>
              <w:ind w:left="0" w:right="0" w:firstLine="0"/>
              <w:jc w:val="left"/>
            </w:pPr>
            <w:r>
              <w:rPr>
                <w:rFonts w:ascii="Times New Roman" w:hAnsi="Times New Roman"/>
                <w:b w:val="0"/>
                <w:i w:val="0"/>
                <w:color w:val="000000"/>
                <w:sz w:val="24"/>
              </w:rPr>
              <w:t>37.</w:t>
            </w:r>
          </w:p>
        </w:tc>
        <w:tc>
          <w:tcPr>
            <w:tcW w:type="dxa" w:w="2488"/>
            <w:vAlign w:val="top"/>
          </w:tcPr>
          <w:p>
            <w:pPr>
              <w:spacing w:line="240" w:lineRule="auto" w:before="120" w:after="120"/>
              <w:ind w:left="0" w:right="0" w:firstLine="0"/>
              <w:jc w:val="left"/>
            </w:pPr>
            <w:r>
              <w:rPr>
                <w:rFonts w:ascii="Times New Roman" w:hAnsi="Times New Roman"/>
                <w:b w:val="0"/>
                <w:i w:val="0"/>
                <w:color w:val="000000"/>
                <w:sz w:val="24"/>
              </w:rPr>
              <w:t>Remigio CEBALLOS ICHASO</w:t>
            </w:r>
          </w:p>
        </w:tc>
        <w:tc>
          <w:tcPr>
            <w:tcW w:type="dxa" w:w="3594"/>
            <w:vAlign w:val="top"/>
          </w:tcPr>
          <w:p>
            <w:pPr>
              <w:spacing w:line="240" w:lineRule="auto" w:before="120" w:after="120"/>
              <w:ind w:left="0" w:right="0" w:firstLine="0"/>
              <w:jc w:val="left"/>
            </w:pPr>
            <w:r>
              <w:rPr>
                <w:rFonts w:ascii="Times New Roman" w:hAnsi="Times New Roman"/>
                <w:b w:val="0"/>
                <w:i w:val="0"/>
                <w:color w:val="000000"/>
                <w:sz w:val="24"/>
              </w:rPr>
              <w:t>DOB: 1.5.1963</w:t>
            </w:r>
            <w:r>
              <w:rPr>
                <w:rFonts w:ascii="Times New Roman" w:hAnsi="Times New Roman"/>
                <w:b w:val="0"/>
                <w:i w:val="0"/>
                <w:color w:val="000000"/>
                <w:sz w:val="24"/>
              </w:rPr>
              <w:br/>
              <w:t>ID-number: V-6557495</w:t>
            </w:r>
            <w:r>
              <w:rPr>
                <w:rFonts w:ascii="Times New Roman" w:hAnsi="Times New Roman"/>
                <w:b w:val="0"/>
                <w:i w:val="0"/>
                <w:color w:val="000000"/>
                <w:sz w:val="24"/>
              </w:rPr>
              <w:br/>
              <w:t>Gender: male</w:t>
            </w:r>
          </w:p>
        </w:tc>
        <w:tc>
          <w:tcPr>
            <w:tcW w:type="dxa" w:w="6358"/>
            <w:vAlign w:val="top"/>
          </w:tcPr>
          <w:p>
            <w:pPr>
              <w:spacing w:line="240" w:lineRule="auto" w:before="120" w:after="120"/>
              <w:ind w:left="0" w:right="0" w:firstLine="0"/>
              <w:jc w:val="left"/>
            </w:pPr>
            <w:r>
              <w:rPr>
                <w:rFonts w:ascii="Times New Roman" w:hAnsi="Times New Roman"/>
                <w:b w:val="0"/>
                <w:i w:val="0"/>
                <w:color w:val="000000"/>
                <w:sz w:val="24"/>
              </w:rPr>
              <w:t>Venezuela’s Ambassador to China. Former Minister of the Interior and Justice of Venezuela (August 2021 – August 2024) and Vice-President of the Government for Citizen Security. Former Commander of the Operational and Strategic Command of the Bolivarian National Armed Forces of Venezuela (Comando Estratégico Operacional Fuerzas Armadas Nacionales Bolivarianas (CEOFANB)), the highest organ in the Venezuelan Armed Forces (June 2017 – July 2021). CEOFANB controls the Bolivarian National Armed Forces (FANB) and the Bolivarian National Guard. CEOFANB is also responsible for coordinating FANB interventions in demonstrations. In his position as Commander of CEOFANB, he was responsible for serious human rights violations, including the use of excessive force and inhuman and degrading treatment by officials of the FANB and by subordinate forces under his command, including the Bolivarian National Guard. Various sources, including the Independent International Fact-Finding Mission on the Bolivarian Republic of Venezuela, attribute human rights violations to FANB and the Bolivarian National Guard.</w:t>
            </w:r>
          </w:p>
        </w:tc>
        <w:tc>
          <w:tcPr>
            <w:tcW w:type="dxa" w:w="1299"/>
            <w:vAlign w:val="top"/>
          </w:tcPr>
          <w:p>
            <w:pPr>
              <w:spacing w:line="240" w:lineRule="auto" w:before="120" w:after="120"/>
              <w:ind w:left="0" w:right="0" w:firstLine="0"/>
              <w:jc w:val="left"/>
            </w:pPr>
            <w:r>
              <w:rPr>
                <w:rFonts w:ascii="Times New Roman" w:hAnsi="Times New Roman"/>
                <w:b w:val="0"/>
                <w:i w:val="0"/>
                <w:color w:val="000000"/>
                <w:sz w:val="24"/>
              </w:rPr>
              <w:t>22.2.2021’</w:t>
            </w:r>
          </w:p>
        </w:tc>
      </w:tr>
    </w:tbl>
    <w:sectPr w:rsidR="00FC693F" w:rsidRPr="0006063C" w:rsidSect="00034616">
      <w:pgSz w:w="15840" w:h="12240"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Council Decision (CFSP) 2017/2074 of 13 November 2017 concerning restrictive measures in view of the situation in Venezuela (OJ L 295, 14.11.2017, p. 60, ELI: http://data.europa.eu/eli/dec/2017/2074/oj).</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footnotePr>
    <w:footnote w:id="-1"/>
    <w:footnote w:id="0"/>
  </w:footnotePr>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before="0" w:after="0" w:line="240" w:lineRule="auto"/>
    </w:pPr>
    <w:rPr>
      <w:rFonts w:ascii="Times New Roman" w:hAnsi="Times New Roman" w:eastAsia="Times New Roman" w:cs="Times New Roman"/>
      <w:sz w:val="20"/>
      <w:szCs w:val="20"/>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