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Службен весник на Европската Унија</w:t>
      </w:r>
    </w:p>
    <w:p w:rsidR="0f1c6df9">
      <w:r>
        <w:t>EN</w:t>
      </w:r>
    </w:p>
    <w:p w:rsidR="dec272fc">
      <w:pPr>
        <w:pStyle w:val="Heading2"/>
      </w:pPr>
      <w:r>
        <w:t>ДИРЕКТИВА 2006/114/ЕЗ НА ЕВРОПСКИОТ ПАРЛАМЕНТ И НА СОВЕТОТ</w:t>
      </w:r>
    </w:p>
    <w:p w:rsidR="bbc60156">
      <w:pPr>
        <w:pStyle w:val="Heading2"/>
      </w:pPr>
      <w:r>
        <w:t>од 12 декември 2006 година</w:t>
      </w:r>
    </w:p>
    <w:p w:rsidR="4fa9e9a8">
      <w:pPr>
        <w:pStyle w:val="Heading2"/>
      </w:pPr>
      <w:r>
        <w:t>за заведувачкото и компаративното рекламирање</w:t>
      </w:r>
    </w:p>
    <w:p w:rsidR="92f4aa2f">
      <w:pPr>
        <w:pStyle w:val="Heading2"/>
      </w:pPr>
      <w:r>
        <w:t>(кодифицирана верзија)</w:t>
      </w:r>
    </w:p>
    <w:p w:rsidR="cf0e0082">
      <w:pPr>
        <w:pStyle w:val="Heading2"/>
      </w:pPr>
      <w:r>
        <w:t>(Текст од значење за ЕЕО)</w:t>
      </w:r>
    </w:p>
    <w:p w:rsidR="bfc2f2d6">
      <w:r>
        <w:t>ЕВРОПСКИОТ ПАРЛАМЕНТ И СОВЕТОТ НА ЕВРОПСКАТА УНИЈА,</w:t>
      </w:r>
    </w:p>
    <w:p w:rsidR="f36630cd">
      <w:r>
        <w:t>имајќи го предвид Договорот за основање на Европската заедница, а особено член 95 од него,</w:t>
      </w:r>
    </w:p>
    <w:p w:rsidR="2f41981f">
      <w:r>
        <w:t>Имајќи го предвид предлогот на Комисијата,</w:t>
      </w:r>
    </w:p>
    <w:p w:rsidR="1c51a9ff">
      <w:r>
        <w:t>Имајќи го предвид мислењето на Европскиот економски и социјален комитет (1),</w:t>
      </w:r>
    </w:p>
    <w:p w:rsidR="c8d1187b">
      <w:r>
        <w:t>Постапувајќи во согласност со постапката утврдена во член 251 од Договорот (2),</w:t>
      </w:r>
    </w:p>
    <w:p w:rsidR="e1141960">
      <w:pPr>
        <w:pStyle w:val="Heading2"/>
      </w:pPr>
      <w:r>
        <w:t>Со оглед на тоа што:</w:t>
      </w:r>
    </w:p>
    <w:p w:rsidR="5f8fc914">
      <w:r>
        <w:t>Директивата 84/450/ЕЕЗ на Советот од 10 септември 1984 година за измамничко и компаративно рекламирање (3) била значително изменета неколкупати (4). Во интерес на јасноста и рационалноста, наведената Директива треба да се кодифицира.</w:t>
      </w:r>
    </w:p>
    <w:p w:rsidR="a3ad6823">
      <w:r>
        <w:t>(1)</w:t>
      </w:r>
    </w:p>
    <w:p w:rsidR="111efa4a">
      <w:r>
        <w:t>Законите против измамничкото рекламирање што се во сила во земјите-членки значително се разликуваат. Бидејќи рекламирањето ги надминува границите на одделните земји-членки, тоа има непосредно влијание врз непреченото функционирање на внатрешниот пазар.</w:t>
      </w:r>
    </w:p>
    <w:p w:rsidR="599be159">
      <w:r>
        <w:t>(2)</w:t>
      </w:r>
    </w:p>
    <w:p w:rsidR="9b6f69e6">
      <w:r>
        <w:t>Измамничкото и незаконското компаративно рекламирање може да доведат до нарушување на конкуренцијата во рамките на внатрешниот пазар.</w:t>
      </w:r>
    </w:p>
    <w:p w:rsidR="907c7c0b">
      <w:r>
        <w:t>(3)</w:t>
      </w:r>
    </w:p>
    <w:p w:rsidR="36a02055">
      <w:r>
        <w:t>Рекламирањето, без оглед на тоа дали доведува до склучување договор, влијае врз економската благосостојба на потрошувачите и трговците.</w:t>
      </w:r>
    </w:p>
    <w:p w:rsidR="4cd67d9b">
      <w:r>
        <w:t>(4)</w:t>
      </w:r>
    </w:p>
    <w:p w:rsidR="5bb83aa9">
      <w:r>
        <w:t>Разликите меѓу законите на земјите-членки во однос на рекламирањето што ги доведува деловните субјекти во заблуда го попречуваат спроведувањето рекламни кампањи надвор од националните граници и на тој начин влијаат врз слободното движење на стоките и обезбедувањето услуги.</w:t>
      </w:r>
    </w:p>
    <w:p w:rsidR="e260c306">
      <w:r>
        <w:t>(5)</w:t>
      </w:r>
    </w:p>
    <w:p w:rsidR="b09f133b">
      <w:r>
        <w:t>(1) Мислење од 26 октомври 2006 година (сè уште необјавено во Службениот весник). (2) Мислење на Европскиот парламент од 12 октомври 2006 година (сè уште необјавено во Службениот весник) и Одлука на Советот од 30 ноември 2006 година. (3) Сл. весник L 250, 19.9.1984 година, стр. 17. Директивата како што е последно изменета со Директивата 2005/29/ЕЗ на Европскиот парламент и на Советот (Сл. весник L 149, 11.6.2005 година, стр. 22). (4) Види Анекс I, Дел А.</w:t>
      </w:r>
    </w:p>
    <w:p w:rsidR="814b6326">
      <w:r>
        <w:t>L 376/21</w:t>
      </w:r>
    </w:p>
    <w:p w:rsidR="1d00ad8b">
      <w:r>
        <w:t>Завршувањето на внатрешниот пазар подразбира широк опсег на избор. Со оглед на тоа што потрошувачите и трговците можат и мораат на најдобар можен начин да го користат внатрешниот пазар и дека рекламирањето е многу важно средство за создавање вистински пазари за сите стоки и услуги низ целата Заедница, основните одредби со кои се уредуваат формата и содржината на компаративното рекламирање треба да бидат еднообразни, а условите за користење на компаративното рекламирање во земјите-членки треба да се усогласат. Доколку овие услови се исполнети, тоа ќе помогне објективно да се прикажат предностите на различните споредливи производи. Компаративното рекламирање може, исто така, да ја поттикне конкуренцијата меѓу снабдувачите на стоки и услуги во корист на потрошувачот.</w:t>
      </w:r>
    </w:p>
    <w:p w:rsidR="e18c34c9">
      <w:r>
        <w:t>(6)</w:t>
      </w:r>
    </w:p>
    <w:p w:rsidR="6e3fdfa3">
      <w:r>
        <w:t>Треба да се утврдат минимални и објективни критериуми за одредување дали рекламирањето доведува во заблуда.</w:t>
      </w:r>
    </w:p>
    <w:p w:rsidR="0b597b98">
      <w:r>
        <w:t>(7)</w:t>
      </w:r>
    </w:p>
    <w:p w:rsidR="37e73b88">
      <w:r>
        <w:t>Компаративното рекламирање, кога се споредуваат суштински, релевантни, проверливи и репрезентативни карактеристики и кога тоа не е заведувачко, може да биде легитимно средство за информирање на потрошувачите за нивните предности. Пожелно е да се предвиди широк концепт на компаративно рекламирање за да се опфатат сите облици на компаративно рекламирање.</w:t>
      </w:r>
    </w:p>
    <w:p w:rsidR="435dc77f">
      <w:r>
        <w:t>(8)</w:t>
      </w:r>
    </w:p>
    <w:p w:rsidR="15d30d4c">
      <w:r>
        <w:t>Треба да се утврдат услови за дозволено компаративно рекламирање, во однос на споредбата, за да се определи кои практики поврзани со компаративното рекламирање може да ја нарушат конкуренцијата, да бидат на штета на конкурентите и негативно да влијаат врз изборот на потрошувачите. Таквите услови за дозволено рекламирање треба да вклучуваат критериуми за објективна споредба на карактеристиките на стоките и услугите.</w:t>
      </w:r>
    </w:p>
    <w:p w:rsidR="84a1e899">
      <w:r>
        <w:t>(9)</w:t>
      </w:r>
    </w:p>
    <w:p w:rsidR="2acecbdd">
      <w:r>
        <w:t>Меѓународните конвенции за авторско право, како и националните одредби за договорна и вондоговорна одговорност, треба да се применуваат кога во компаративното рекламирање се упатува на резултатите од компаративните тестови спроведени од трети страни или кога тие резултати се репродуцираат.</w:t>
      </w:r>
    </w:p>
    <w:p w:rsidR="e3fdaff1">
      <w:r>
        <w:t>(10)</w:t>
      </w:r>
    </w:p>
    <w:p w:rsidR="81d32421">
      <w:r>
        <w:t>Условите за компаративно рекламирање треба да бидат кумулативни и да се почитуваат во целост. Во согласност со Договорот, изборот на облиците и методите за спроведување на овие услови треба да им се препушти на земјите-членки, доколку тие облици и методи не се веќе утврдени со оваа директива.</w:t>
      </w:r>
    </w:p>
    <w:p w:rsidR="56a01eaf">
      <w:r>
        <w:t>(11)</w:t>
      </w:r>
    </w:p>
    <w:p>
      <w:r>
        <w:br w:type="page"/>
      </w:r>
    </w:p>
    <w:p w:rsidR="6e0d1376">
      <w:r>
        <w:t>L 376/22</w:t>
      </w:r>
    </w:p>
    <w:p w:rsidR="b831f86c">
      <w:r>
        <w:t>MK</w:t>
      </w:r>
    </w:p>
    <w:p w:rsidR="a223e892">
      <w:r>
        <w:t>Овие услови треба особено да го вклучуваат земањето предвид на одредбите што произлегуваат од Регулативата (ЕЗ) бр. 510/2006 на Советот од 20 март 2006 година за заштита на географските ознаки и ознаките за потекло на земјоделските производи и прехранбените производи (1), а особено член 13 од неа, како и на другите одредби на Заедницата донесени во областа на земјоделството.</w:t>
      </w:r>
    </w:p>
    <w:p w:rsidR="bf7b4aab">
      <w:r>
        <w:t>(12)</w:t>
      </w:r>
    </w:p>
    <w:p w:rsidR="b08ad8bc">
      <w:r>
        <w:t>Член 5 од Првата директива 89/104/ЕЕЗ на Советот од 21 декември 1988 година за усогласување на законодавствата на земјите членки во однос на трговските марки (2) му доделува исклучиви права на носителот на регистрирана трговска марка, вклучувајќи го и правото да ги спречи сите трети страни при тргувањето да користат каков било знак што е идентичен или сличен на трговската марка во однос на идентични стоки или услуги или, кога е соодветно, дури и во однос на други стоки.</w:t>
      </w:r>
    </w:p>
    <w:p w:rsidR="00bb19ea">
      <w:r>
        <w:t>(13)</w:t>
      </w:r>
    </w:p>
    <w:p w:rsidR="83b2ae2e">
      <w:r>
        <w:t>Меѓутоа, за споредбеното рекламирање да биде ефективно, може да биде неопходно да се идентификуваат стоките или услугите на конкурентот со упатување на трговска марка или трговско име чиј носител е тој.</w:t>
      </w:r>
    </w:p>
    <w:p w:rsidR="1767eb06">
      <w:r>
        <w:t>(14)</w:t>
      </w:r>
    </w:p>
    <w:p w:rsidR="309f7355">
      <w:r>
        <w:t>Таквото користење на туѓа трговска марка, трговско име или други знаци за разликување не претставува повреда на ова исклучиво право кога е во согласност со условите утврдени со оваа директива, при што целта е единствено да се направи разлика меѓу нив и на тој начин објективно да се истакнат разликите.</w:t>
      </w:r>
    </w:p>
    <w:p w:rsidR="54efba36">
      <w:r>
        <w:t>(15)</w:t>
      </w:r>
    </w:p>
    <w:p w:rsidR="38364081">
      <w:r>
        <w:t>Лицата или организациите за кои според националното право се смета дека имаат легитимен интерес во однос на ова прашање треба да имаат можност да поведат постапка против заведувачкото и незаконското споредбено рекламирање, пред суд или пред управен орган надлежен да одлучува по претставки или да поведува соодветни судски постапки.</w:t>
      </w:r>
    </w:p>
    <w:p w:rsidR="113cb072">
      <w:r>
        <w:t>(16)</w:t>
      </w:r>
    </w:p>
    <w:p w:rsidR="c8f2d96b">
      <w:r>
        <w:t>Судовите или управните органи треба да имаат овластувања што им овозможуваат да наредат или да обезбедат престанок на заведувачкото и незаконското споредбено рекламирање. Во одредени случаи може да биде пожелно да се забрани заведувачкото и незаконското споредбено рекламирање дури и пред тоа да биде објавено. Сепак, ова во никој случај не значи дека земјите-членки имаат обврска да воведат правила со кои се бара систематска претходна проверка на рекламирањето.</w:t>
      </w:r>
    </w:p>
    <w:p w:rsidR="40f5034a">
      <w:r>
        <w:t>(17)</w:t>
      </w:r>
    </w:p>
    <w:p w:rsidR="dc821b8d">
      <w:r>
        <w:t>Доброволната контрола што ја вршат саморегулаторните тела заради отстранување на заведувачкото или незаконското споредбено рекламирање може да ја избегне потребата од поведување управна или судска постапка и затоа треба да се поттикнува.</w:t>
      </w:r>
    </w:p>
    <w:p w:rsidR="7f78be79">
      <w:r>
        <w:t>(18)</w:t>
      </w:r>
    </w:p>
    <w:p w:rsidR="ae58b38d">
      <w:r>
        <w:t>(1) Сл. весник L 93, 31.3.2006 година, стр. 12. (2) Сл. весник L 40, 11.2.1989 година, стр. 1. Директивата е изменета со Одлуката 92/10/ЕЕЗ (Сл. весник L 6, 11.1.1992 година, стр. 35).</w:t>
      </w:r>
    </w:p>
    <w:p w:rsidR="af64ca38">
      <w:r>
        <w:t>Службен весник на Европската Унија 27.12.2006 година</w:t>
      </w:r>
    </w:p>
    <w:p w:rsidR="98f5aa2c">
      <w:r>
        <w:t>Иако националното право го утврдува товарот на докажување, соодветно е на судовите и управните органи да им се овозможи да бараат од трговците да достават докази за точноста на фактичките тврдења што ги изнеле.</w:t>
      </w:r>
    </w:p>
    <w:p w:rsidR="cb60c76d">
      <w:r>
        <w:t>(19)</w:t>
      </w:r>
    </w:p>
    <w:p w:rsidR="f482f5a9">
      <w:r>
        <w:t>Регулирањето на споредбеното рекламирање е неопходно за непречено функционирање на внатрешниот пазар. Затоа, потребно е дејствување на ниво на Заедницата. Донесувањето директива е соодветен инструмент бидејќи со неа се утврдуваат единствени општи начела, а истовремено им се овозможува на земјите-членки да ги изберат формата и соодветниот начин за постигнување на овие цели. Тоа е во согласност со начелото на супсидијарност.</w:t>
      </w:r>
    </w:p>
    <w:p w:rsidR="58b668a8">
      <w:r>
        <w:t>(20)</w:t>
      </w:r>
    </w:p>
    <w:p w:rsidR="640e944c">
      <w:r>
        <w:t>Оваа директива не треба да влијае врз обврските на земјите-членки во однос на роковите за транспонирање во националното право и примена на директивите утврдени во Дел Б од Анекс I,</w:t>
      </w:r>
    </w:p>
    <w:p w:rsidR="9536a211">
      <w:r>
        <w:t>(21)</w:t>
      </w:r>
    </w:p>
    <w:p w:rsidR="d74bf513">
      <w:pPr>
        <w:pStyle w:val="Heading2"/>
      </w:pPr>
      <w:r>
        <w:t>ЈА ДОНЕСОА ОВАА ДИРЕКТИВА:</w:t>
      </w:r>
    </w:p>
    <w:p w:rsidR="75012a7e">
      <w:pPr>
        <w:pStyle w:val="Heading2"/>
      </w:pPr>
      <w:r>
        <w:t>Член 1</w:t>
      </w:r>
    </w:p>
    <w:p w:rsidR="2b13d5ab">
      <w:r>
        <w:t>Целта на оваа директива е да ги заштити трговците од заведувачко рекламирање и од неправедните последици од него и да ги утврди условите под кои е дозволено компаративното рекламирање.</w:t>
      </w:r>
    </w:p>
    <w:p w:rsidR="a31e1a13">
      <w:pPr>
        <w:pStyle w:val="Heading2"/>
      </w:pPr>
      <w:r>
        <w:t>Член 2</w:t>
      </w:r>
    </w:p>
    <w:p w:rsidR="fa26119c">
      <w:r>
        <w:t>За целите на оваа директива:</w:t>
      </w:r>
    </w:p>
    <w:p w:rsidR="0bb20bd4">
      <w:r>
        <w:t>(а) „рекламирање“ значи претставување во каква било форма во врска со трговија, деловна активност, занает или професија, со цел да се промовира понудата на стоки или услуги, вклучително и недвижен имот, права и обврски;</w:t>
      </w:r>
    </w:p>
    <w:p w:rsidR="c0076210">
      <w:r>
        <w:t>(б) „заведувачко рекламирање“ значи секое рекламирање што на каков било начин, вклучително и преку неговото претставување, ги доведува или е веројатно дека ќе ги доведе во заблуда лицата на кои им е упатено или до кои допира и кое, поради својата заведувачка природа, е веројатно дека ќе влијае врз нивното економско однесување или кое, поради тие причини, му нанесува или е веројатно дека ќе му нанесе штета на конкурент;</w:t>
      </w:r>
    </w:p>
    <w:p w:rsidR="6249899f">
      <w:r>
        <w:t>(в) „компаративно рекламирање“ значи секое рекламирање што експлицитно или имплицитно идентификува конкурент или стоки или услуги што ги нуди конкурент;</w:t>
      </w:r>
    </w:p>
    <w:p w:rsidR="5a2cc8e7">
      <w:r>
        <w:t>(г) „трговец“ е секое физичко или правно лице кое дејствува за цели поврзани со неговата трговска, занаетчиска, деловна или професионална дејност и секое лице кое дејствува во име или за сметка на трговец;</w:t>
      </w:r>
    </w:p>
    <w:p>
      <w:r>
        <w:br w:type="page"/>
      </w:r>
    </w:p>
    <w:p w:rsidR="fb636000">
      <w:r>
        <w:t>27.12.2006</w:t>
      </w:r>
    </w:p>
    <w:p w:rsidR="7c9b4d42">
      <w:r>
        <w:t>Службен весник на Европската Унија</w:t>
      </w:r>
    </w:p>
    <w:p w:rsidR="e3fdc28c">
      <w:r>
        <w:t>МК</w:t>
      </w:r>
    </w:p>
    <w:p w:rsidR="fc8227bb">
      <w:r>
        <w:t>(д) „сопственик на кодексот“ е секој субјект, вклучително и трговец или група трговци, кој е одговорен за формулирањето и ревидирањето на кодекс на однесување и/или за следењето на усогласеноста со кодексот од страна на оние кои се обврзале да го почитуваат.</w:t>
      </w:r>
    </w:p>
    <w:p w:rsidR="30be42bc">
      <w:pPr>
        <w:pStyle w:val="Heading2"/>
      </w:pPr>
      <w:r>
        <w:t>Член 3</w:t>
      </w:r>
    </w:p>
    <w:p w:rsidR="68c26e42">
      <w:r>
        <w:t>При утврдувањето дали рекламирањето доведува во заблуда, се земаат предвид сите негови карактеристики, а особено сите информации што тоа ги содржи во врска со:</w:t>
      </w:r>
    </w:p>
    <w:p w:rsidR="480107aa">
      <w:r>
        <w:t>(а) карактеристиките на стоките или услугите, како што се нивната достапност, природа, изведба, состав, начинот и датумот на производство или обезбедување, соодветноста за намената, употребата, количеството, спецификацијата, географското или трговското потекло или резултатите што се очекуваат од нивната употреба, или резултатите и суштинските карактеристики на тестирањата или проверките извршени врз стоките или услугите;</w:t>
      </w:r>
    </w:p>
    <w:p w:rsidR="657f691f">
      <w:r>
        <w:t>(б) цената или начинот на кој се пресметува цената и условите под кои се испорачуваат стоките или се обезбедуваат услугите;</w:t>
      </w:r>
    </w:p>
    <w:p w:rsidR="fb524789">
      <w:r>
        <w:t>(в) природата, својствата и правата на огласувачот, како што се неговиот идентитет и имот, неговите квалификации и сопственоста на права од индустриска, трговска или интелектуална сопственост или неговите награди и признанија.</w:t>
      </w:r>
    </w:p>
    <w:p w:rsidR="f900635a">
      <w:pPr>
        <w:pStyle w:val="Heading2"/>
      </w:pPr>
      <w:r>
        <w:t>Член 4</w:t>
      </w:r>
    </w:p>
    <w:p w:rsidR="26b2f4a4">
      <w:r>
        <w:t>Споредбеното рекламирање, во однос на споредбата, е дозволено кога се исполнети следниве услови:</w:t>
      </w:r>
    </w:p>
    <w:p w:rsidR="2c468b1c">
      <w:r>
        <w:t>(а) не доведува во заблуда во смисла на членовите 2(б), 3 и 8(1) од оваа директива или членовите 6 и 7 од Директивата 2005/29/ЕЗ на Европскиот парламент и на Советот од 11 мај 2005 година за нечесни трговски практики на деловните субјекти кон потрошувачите на внатрешниот пазар („Директива за нечесни трговски практики“) (1);</w:t>
      </w:r>
    </w:p>
    <w:p w:rsidR="946fd5b3">
      <w:r>
        <w:t>(б) споредува стоки или услуги што задоволуваат исти потреби или се наменети за иста цел;</w:t>
      </w:r>
    </w:p>
    <w:p w:rsidR="7ae8888f">
      <w:r>
        <w:t>(в) објективно споредува едно или повеќе суштински, релевантни, проверливи и репрезентативни својства на тие стоки и услуги, меѓу кои може да биде и цената;</w:t>
      </w:r>
    </w:p>
    <w:p w:rsidR="517f0d5f">
      <w:r>
        <w:t>(г) не ги дискредитира или омаловажува трговските марки, трговските називи, другите знаци за разликување, стоките, услугите, активностите или околностите на конкурентот;</w:t>
      </w:r>
    </w:p>
    <w:p w:rsidR="d13bb56e">
      <w:r>
        <w:t>(д) кај производите со ознака на потекло, во секој случај се однесува на производи со иста ознака;</w:t>
      </w:r>
    </w:p>
    <w:p w:rsidR="34a42cda">
      <w:r>
        <w:t>(1) Сл. весник на ЕУ L 149, 11.6.2005 година, стр. 22.</w:t>
      </w:r>
    </w:p>
    <w:p w:rsidR="381b9267">
      <w:r>
        <w:t>L 376/23</w:t>
      </w:r>
    </w:p>
    <w:p w:rsidR="020f1e77">
      <w:r>
        <w:t>(ѓ) не ја искористува на нечесен начин репутацијата на трговската марка, трговскиот назив или другите знаци за разликување на конкурентот или ознаката на потекло на конкурентските производи;</w:t>
      </w:r>
    </w:p>
    <w:p w:rsidR="51cc70a4">
      <w:r>
        <w:t>(е) не ги претставува стоките или услугите како имитации или реплики на стоки или услуги што носат заштитена трговска марка или трговско име;</w:t>
      </w:r>
    </w:p>
    <w:p w:rsidR="eef565a2">
      <w:r>
        <w:t>(ж) не создава забуна меѓу трговците, меѓу огласувачот и конкурентот или меѓу трговските марки, трговските имиња, другите знаци за разликување, стоките или услугите на огласувачот и оние на конкурентот.</w:t>
      </w:r>
    </w:p>
    <w:p w:rsidR="e68ae7c8">
      <w:pPr>
        <w:pStyle w:val="Heading2"/>
      </w:pPr>
      <w:r>
        <w:t>Член 5</w:t>
      </w:r>
    </w:p>
    <w:p w:rsidR="9ae549bf">
      <w:r>
        <w:t>1. Државите членки обезбедуваат постоење на соодветни и ефективни средства за борба против заведувачкото рекламирање и за обезбедување почитување на одредбите за компаративното рекламирање во интерес на трговците и конкурентите.</w:t>
      </w:r>
    </w:p>
    <w:p w:rsidR="8f3dbe82">
      <w:r>
        <w:t>Таквите средства вклучуваат правни одредби според кои лицата или организациите за кои, согласно националното право, се смета дека имаат легитимен интерес во борбата против заведувачкото рекламирање или во регулирањето на компаративното рекламирање можат:</w:t>
      </w:r>
    </w:p>
    <w:p w:rsidR="c03b7648">
      <w:r>
        <w:t>(а) да поведат судска постапка против таквото рекламирање;</w:t>
      </w:r>
    </w:p>
    <w:p w:rsidR="0c04ab5a">
      <w:r>
        <w:t>или</w:t>
      </w:r>
    </w:p>
    <w:p w:rsidR="12c33e06">
      <w:r>
        <w:t>(б) да го изнесат таквото рекламирање пред управен орган надлежен или да одлучува по претставки или да поведе соодветна судска постапка.</w:t>
      </w:r>
    </w:p>
    <w:p w:rsidR="0cf023d1">
      <w:r>
        <w:t>2. Секоја држава членка одлучува кои од правните средства наведени во вториот потстав од став 1 ќе бидат достапни и дали ќе им овозможи на судовите или управните органи да бараат претходно прибегнување кон други воспоставени средства за постапување по претставки, вклучувајќи ги и оние наведени во член 6.</w:t>
      </w:r>
    </w:p>
    <w:p w:rsidR="28811bf3">
      <w:r>
        <w:t>Секоја држава членка одлучува:</w:t>
      </w:r>
    </w:p>
    <w:p w:rsidR="9529ea04">
      <w:r>
        <w:t>(а) дали овие правни средства може да се насочат одделно или заеднички против повеќе трговци од истиот економски сектор;</w:t>
      </w:r>
    </w:p>
    <w:p w:rsidR="9c04c70e">
      <w:r>
        <w:t>и</w:t>
      </w:r>
    </w:p>
    <w:p w:rsidR="c2e0a7df">
      <w:r>
        <w:t>(б) дали овие правни средства може да се насочат против сопственик на кодекс, кога соодветниот кодекс поттикнува непочитување на законските барања.</w:t>
      </w:r>
    </w:p>
    <w:p>
      <w:r>
        <w:br w:type="page"/>
      </w:r>
    </w:p>
    <w:p w:rsidR="e94c375d">
      <w:r>
        <w:t>Службен весник на Европската Унија</w:t>
      </w:r>
    </w:p>
    <w:p w:rsidR="b1c3e0ef">
      <w:r>
        <w:t>L 376/24</w:t>
      </w:r>
    </w:p>
    <w:p w:rsidR="84c10997">
      <w:r>
        <w:t>МК</w:t>
      </w:r>
    </w:p>
    <w:p w:rsidR="54e81fb1">
      <w:r>
        <w:t>3. Согласно одредбите наведени во ставовите 1 и 2, земјите-членки им даваат на судовите или управните органи овластувања со кои им се овозможува, во случаи кога сметаат дека таквите мерки се неопходни, земајќи ги предвид сите засегнати интереси, а особено јавниот интерес:</w:t>
      </w:r>
    </w:p>
    <w:p w:rsidR="50069887">
      <w:r>
        <w:t>(а) да наредат престанок на заведувачкото рекламирање или недозволеното компаративно рекламирање или да поведат соодветна судска постапка за издавање налог за негов престанок;</w:t>
      </w:r>
    </w:p>
    <w:p w:rsidR="5a55a147">
      <w:r>
        <w:t>или</w:t>
      </w:r>
    </w:p>
    <w:p w:rsidR="3c55e458">
      <w:r>
        <w:t>(б) ако заведувачкото рекламирање или недозволеното компаративно рекламирање сè уште не е објавено, но неговото објавување е непосредно, да наредат забрана за таквото објавување или да поведат соодветна судска постапка за издавање налог за забрана на таквото објавување.</w:t>
      </w:r>
    </w:p>
    <w:p w:rsidR="2370e6a3">
      <w:r>
        <w:t>Првиот потстав се применува дури и кога нема доказ за вистинска загуба или штета или за намера или небрежност од страна на огласувачот.</w:t>
      </w:r>
    </w:p>
    <w:p w:rsidR="feb8c38b">
      <w:r>
        <w:t>Земјите-членки предвидуваат мерките наведени во првиот потстав да се преземаат во забрзана постапка, со привремено или со конечно дејство, по дискреционо право на земјите-членки.</w:t>
      </w:r>
    </w:p>
    <w:p w:rsidR="4a51b403">
      <w:r>
        <w:t>4. Земјите-членки може да им доделат на судовите или на управните органи овластувања што им овозможуваат, со цел да се отстранат продолжените ефекти од заведувачкото рекламирање или незаконското компаративно рекламирање, чиј прекин е наложен со конечна одлука:</w:t>
      </w:r>
    </w:p>
    <w:p w:rsidR="7e7b139f">
      <w:r>
        <w:t>(а) да побараат објавување на таа одлука во целост или делумно и во форма што ја сметаат за соодветна;</w:t>
      </w:r>
    </w:p>
    <w:p w:rsidR="65c8fd55">
      <w:r>
        <w:t>(б) дополнително да побараат објавување на корективна изјава.</w:t>
      </w:r>
    </w:p>
    <w:p w:rsidR="2c2894be">
      <w:r>
        <w:t>5. Управните органи наведени во точка (б) од вториот потстав на став 1 мора:</w:t>
      </w:r>
    </w:p>
    <w:p w:rsidR="4dcaa21c">
      <w:r>
        <w:t>(а) да бидат составени на начин што не предизвикува сомневање во нивната непристрасност;</w:t>
      </w:r>
    </w:p>
    <w:p w:rsidR="3e3b2ddc">
      <w:r>
        <w:t>(б) да имаат соодветни овластувања, кога одлучуваат по жалби, ефективно да го следат и да го обезбедат почитувањето на своите одлуки;</w:t>
      </w:r>
    </w:p>
    <w:p w:rsidR="2a72d296">
      <w:r>
        <w:t>(в) по правило да ги образложуваат своите одлуки.</w:t>
      </w:r>
    </w:p>
    <w:p w:rsidR="2d040459">
      <w:r>
        <w:t>27.12.2006</w:t>
      </w:r>
    </w:p>
    <w:p w:rsidR="9f54989a">
      <w:r>
        <w:t>6. Кога овластувањата наведени во ставовите 3 и 4 ги врши исклучиво управен орган, неговите одлуки секогаш мора да бидат образложени. Во тој случај, мора да се предвидат постапки со кои несоодветното или неразумното вршење на неговите овластувања од страна на управниот орган или несоодветното или неразумното пропуштање да ги врши наведените овластувања може да биде предмет на судско преиспитување.</w:t>
      </w:r>
    </w:p>
    <w:p w:rsidR="fcea0f35">
      <w:pPr>
        <w:pStyle w:val="Heading2"/>
      </w:pPr>
      <w:r>
        <w:t>Член 6</w:t>
      </w:r>
    </w:p>
    <w:p w:rsidR="6a8e6647">
      <w:r>
        <w:t>Оваа директива не ја исклучува доброволната контрола на заведувачкото или компаративното рекламирање од страна на саморегулаторни тела, која државите членки може да ја поттикнуваат, ниту обраќањето до таквите тела од страна на лицата или организациите наведени во вториот потстав од член 5(1), под услов постапките пред таквите тела да бидат дополнителни во однос на судските или управните постапки наведени во тој член.</w:t>
      </w:r>
    </w:p>
    <w:p w:rsidR="d0fddd93">
      <w:pPr>
        <w:pStyle w:val="Heading2"/>
      </w:pPr>
      <w:r>
        <w:t>Член 7</w:t>
      </w:r>
    </w:p>
    <w:p w:rsidR="a73958de">
      <w:r>
        <w:t>Државите членки им доделуваат на судовите или управните органи овластувања што им овозможуваат, во граѓанските или управните постапки наведени во член 5:</w:t>
      </w:r>
    </w:p>
    <w:p w:rsidR="a97c41fc">
      <w:r>
        <w:t>(а) да бараат од огласувачот да достави докази за точноста на фактичките тврдења во рекламирањето доколку, земајќи ги предвид легитимниот интерес на огласувачот и на која било друга странка во постапката, таквото барање се смета за соодветно врз основа на околностите на конкретниот случај, а во случај на компаративно рекламирање, да бараат од огласувачот да ги достави таквите докази во краток рок;</w:t>
      </w:r>
    </w:p>
    <w:p w:rsidR="fa789d49">
      <w:r>
        <w:t>и</w:t>
      </w:r>
    </w:p>
    <w:p w:rsidR="a75ac385">
      <w:r>
        <w:t>(б) да ги сметаат фактичките тврдења за неточни доколку доказите побарани во согласност со точка (а) не се доставени или судот или управниот орган ги смета за недоволни.</w:t>
      </w:r>
    </w:p>
    <w:p w:rsidR="751d559f">
      <w:pPr>
        <w:pStyle w:val="Heading2"/>
      </w:pPr>
      <w:r>
        <w:t>Член 8</w:t>
      </w:r>
    </w:p>
    <w:p w:rsidR="87343d0b">
      <w:r>
        <w:t>1. Оваа директива не ги спречува државите членки да ги задржат или да донесат одредби со цел да обезбедат поширока заштита на трговците и конкурентите во однос на заведувачкото рекламирање.</w:t>
      </w:r>
    </w:p>
    <w:p w:rsidR="b071eaa0">
      <w:r>
        <w:t>Првиот потстав не се применува на компаративното рекламирање во однос на споредбата.</w:t>
      </w:r>
    </w:p>
    <w:p w:rsidR="fa4e7805">
      <w:r>
        <w:t>2. Одредбите од оваа директива се применуваат без да се доведуваат во прашање одредбите на Заедницата за рекламирање на специфични производи и/или услуги или ограничувањата или забраните за рекламирање во одредени медиуми.</w:t>
      </w:r>
    </w:p>
    <w:p>
      <w:r>
        <w:br w:type="page"/>
      </w:r>
    </w:p>
    <w:p w:rsidR="942e8dad">
      <w:r>
        <w:t>27.12.2006</w:t>
      </w:r>
    </w:p>
    <w:p w:rsidR="48f2c274">
      <w:r>
        <w:t>Службен весник на Европската Унија</w:t>
      </w:r>
    </w:p>
    <w:p w:rsidR="4c24c2c5">
      <w:r>
        <w:t>EN</w:t>
      </w:r>
    </w:p>
    <w:p w:rsidR="92cc8d18">
      <w:r>
        <w:t>3. Одредбите од оваа директива што се однесуваат на компаративното рекламирање не ги обврзуваат државите членки кои, во согласност со одредбите од Договорот, задржуваат или воведуваат забрани за рекламирање одредени стоки или услуги, без оглед дали тие се наметнати директно или од страна на тело или организација што, според правото на државите членки, е надлежно за регулирање на вршењето комерцијална, индустриска, занаетчиска или професионална дејност, да дозволат компаративно рекламирање на тие стоки или услуги. Кога овие забрани се ограничени на одредени медиуми, оваа директива се применува на медиумите што не се опфатени со овие забрани.</w:t>
      </w:r>
    </w:p>
    <w:p w:rsidR="7f2a78c4">
      <w:r>
        <w:t>4. Ништо во оваа директива не ги спречува државите членки, во согласност со одредбите од Договорот, да задржат или да воведат забрани или ограничувања за употребата на споредби при рекламирањето професионални услуги, без оглед дали тие се наметнати директно или од страна на тело или организација што, според правото на државите членки, е надлежно за регулирање на вршењето професионална дејност.</w:t>
      </w:r>
    </w:p>
    <w:p w:rsidR="910fb976">
      <w:pPr>
        <w:pStyle w:val="Heading2"/>
      </w:pPr>
      <w:r>
        <w:t>Член 9</w:t>
      </w:r>
    </w:p>
    <w:p w:rsidR="0ba398f8">
      <w:r>
        <w:t>Државите членки ѝ го доставуваат на Комисијата текстот на главните одредби од националното право што ги донесуваат во областа опфатена со оваа директива.</w:t>
      </w:r>
    </w:p>
    <w:p w:rsidR="6b49f2fa">
      <w:r>
        <w:t>L 376/25</w:t>
      </w:r>
    </w:p>
    <w:p w:rsidR="18f13353">
      <w:pPr>
        <w:pStyle w:val="Heading2"/>
      </w:pPr>
      <w:r>
        <w:t>Член 10</w:t>
      </w:r>
    </w:p>
    <w:p w:rsidR="d8648295">
      <w:r>
        <w:t>Директивата 84/450/ЕЕЗ се укинува, без да се засегаат обврските на земјите-членки во однос на роковите за транспонирање во националното право и примена на директивите, како што е утврдено во Дел Б од Анекс I.</w:t>
      </w:r>
    </w:p>
    <w:p w:rsidR="219d1b93">
      <w:r>
        <w:t>Упатувањата на укинатата Директива се сметаат за упатувања на оваа Директива и треба да се читаат во согласност со табелата за корелација утврдена во Анекс II.</w:t>
      </w:r>
    </w:p>
    <w:p w:rsidR="fdc548f4">
      <w:pPr>
        <w:pStyle w:val="Heading2"/>
      </w:pPr>
      <w:r>
        <w:t>Член 11</w:t>
      </w:r>
    </w:p>
    <w:p w:rsidR="e8583dcc">
      <w:r>
        <w:t>Оваа Директива влегува во сила на 12 декември 2007 година.</w:t>
      </w:r>
    </w:p>
    <w:p w:rsidR="e979fa5a">
      <w:pPr>
        <w:pStyle w:val="Heading2"/>
      </w:pPr>
      <w:r>
        <w:t>Член 12</w:t>
      </w:r>
    </w:p>
    <w:p w:rsidR="1af84640">
      <w:r>
        <w:t>Оваа Директива е упатена до земјите-членки.</w:t>
      </w:r>
    </w:p>
    <w:p w:rsidR="f573625b">
      <w:r>
        <w:t>Составено во Стразбур, на 12 декември 2006 година.</w:t>
      </w:r>
    </w:p>
    <w:p w:rsidR="de7e3723">
      <w:r>
        <w:t>За Советот</w:t>
      </w:r>
    </w:p>
    <w:p w:rsidR="212e6970">
      <w:r>
        <w:t>За Европскиот парламент</w:t>
      </w:r>
    </w:p>
    <w:p w:rsidR="a2c819f4">
      <w:r>
        <w:t>Претседателот M. PEKKARINEN</w:t>
      </w:r>
    </w:p>
    <w:p w:rsidR="97076108">
      <w:r>
        <w:t>Претседателот J. BORRELL FONTELLES</w:t>
      </w:r>
    </w:p>
    <w:p>
      <w:r>
        <w:br w:type="page"/>
      </w:r>
    </w:p>
    <w:p w:rsidR="b3653340">
      <w:r>
        <w:t>L 376/26</w:t>
      </w:r>
    </w:p>
    <w:p w:rsidR="aab4e367">
      <w:r>
        <w:t>Службен весник на Европската Унија 27.12.2006</w:t>
      </w:r>
    </w:p>
    <w:p w:rsidR="b9a04cd9">
      <w:r>
        <w:t>МК</w:t>
      </w:r>
    </w:p>
    <w:p w:rsidR="3e1c01d2">
      <w:pPr>
        <w:pStyle w:val="Heading2"/>
      </w:pPr>
      <w:r>
        <w:t>АНЕКС I</w:t>
      </w:r>
    </w:p>
    <w:p w:rsidR="8de65ea5">
      <w:pPr>
        <w:pStyle w:val="Heading2"/>
      </w:pPr>
      <w:r>
        <w:t>ДЕЛ А</w:t>
      </w:r>
    </w:p>
    <w:p w:rsidR="5eb2b5cb">
      <w:pPr>
        <w:pStyle w:val="Heading2"/>
      </w:pPr>
      <w:r>
        <w:t>Укината директива со нејзините последователни измени</w:t>
      </w:r>
    </w:p>
    <w:tbl>
      <w:tblPr>
        <w:tblStyle w:val="TableGrid"/>
        <w:tblW w:type="auto" w:w="0"/>
        <w:tblLook w:firstColumn="1" w:firstRow="1" w:lastColumn="0" w:lastRow="0" w:noHBand="0" w:noVBand="1" w:val="04A0"/>
      </w:tblPr>
      <w:tblGrid>
        <w:gridCol w:w="4320"/>
        <w:gridCol w:w="4320"/>
      </w:tblGrid>
      <w:tr>
        <w:tc>
          <w:tcPr>
            <w:tcW w:type="dxa" w:w="4320"/>
          </w:tcPr>
          <w:p>
            <w:r>
              <w:t>Директива 84/450/ЕЕЗ на Советот</w:t>
              <w:br/>
              <w:t>(Сл. весник L 250, 19.9.1984, стр. 17)</w:t>
            </w:r>
            <w:r>
              <w:br/>
              <w:t/>
            </w:r>
          </w:p>
        </w:tc>
        <w:tc>
          <w:tcPr>
            <w:tcW w:type="dxa" w:w="4320"/>
          </w:tcPr>
          <w:p>
            <w:r/>
          </w:p>
        </w:tc>
      </w:tr>
      <w:tr>
        <w:tc>
          <w:tcPr>
            <w:tcW w:type="dxa" w:w="4320"/>
          </w:tcPr>
          <w:p>
            <w:r>
              <w:t>Директива 97/55/ЕЗ на Европскиот парламент и на Советот</w:t>
              <w:br/>
              <w:t>(Сл. весник L 290, 23.10.1997, стр. 18)</w:t>
            </w:r>
            <w:r>
              <w:br/>
              <w:t/>
            </w:r>
          </w:p>
        </w:tc>
        <w:tc>
          <w:tcPr>
            <w:tcW w:type="dxa" w:w="4320"/>
          </w:tcPr>
          <w:p>
            <w:r/>
          </w:p>
        </w:tc>
      </w:tr>
      <w:tr>
        <w:tc>
          <w:tcPr>
            <w:tcW w:type="dxa" w:w="4320"/>
          </w:tcPr>
          <w:p>
            <w:r>
              <w:t>Директива 2005/29/ЕЗ на Европскиот парламент и на Советот</w:t>
              <w:br/>
              <w:t>(Сл. весник L 149, 11.6.2005, стр. 22)</w:t>
            </w:r>
            <w:r>
              <w:br/>
              <w:t/>
            </w:r>
          </w:p>
        </w:tc>
        <w:tc>
          <w:tcPr>
            <w:tcW w:type="dxa" w:w="4320"/>
          </w:tcPr>
          <w:p>
            <w:r>
              <w:t>само член 14</w:t>
            </w:r>
          </w:p>
        </w:tc>
      </w:tr>
    </w:tbl>
    <w:p w:rsidR="715d68dd">
      <w:pPr>
        <w:pStyle w:val="Heading2"/>
      </w:pPr>
      <w:r>
        <w:t>ДЕЛ Б</w:t>
      </w:r>
    </w:p>
    <w:p w:rsidR="7f1c47ee">
      <w:pPr>
        <w:pStyle w:val="Heading2"/>
      </w:pPr>
      <w:r>
        <w:t>Список на рокови за транспонирање во националното право и примена</w:t>
      </w:r>
    </w:p>
    <w:p w:rsidR="7188692d">
      <w:r>
        <w:t>(наведен во член 10)</w:t>
      </w:r>
    </w:p>
    <w:tbl>
      <w:tblPr>
        <w:tblStyle w:val="TableGrid"/>
        <w:tblW w:type="auto" w:w="0"/>
        <w:tblLook w:firstColumn="1" w:firstRow="1" w:lastColumn="0" w:lastRow="0" w:noHBand="0" w:noVBand="1" w:val="04A0"/>
      </w:tblPr>
      <w:tblGrid>
        <w:gridCol w:w="2880"/>
        <w:gridCol w:w="2880"/>
        <w:gridCol w:w="2880"/>
      </w:tblGrid>
      <w:tr>
        <w:tc>
          <w:tcPr>
            <w:tcW w:type="dxa" w:w="2880"/>
          </w:tcPr>
          <w:p>
            <w:r>
              <w:t>Директива</w:t>
            </w:r>
          </w:p>
        </w:tc>
        <w:tc>
          <w:tcPr>
            <w:tcW w:type="dxa" w:w="2880"/>
          </w:tcPr>
          <w:p>
            <w:r>
              <w:t>Рок за транспонирање</w:t>
            </w:r>
          </w:p>
        </w:tc>
        <w:tc>
          <w:tcPr>
            <w:tcW w:type="dxa" w:w="2880"/>
          </w:tcPr>
          <w:p>
            <w:r>
              <w:t>Датум на примена</w:t>
            </w:r>
          </w:p>
        </w:tc>
      </w:tr>
      <w:tr>
        <w:tc>
          <w:tcPr>
            <w:tcW w:type="dxa" w:w="2880"/>
          </w:tcPr>
          <w:p>
            <w:r>
              <w:t>84/450/ЕЕЗ</w:t>
            </w:r>
          </w:p>
        </w:tc>
        <w:tc>
          <w:tcPr>
            <w:tcW w:type="dxa" w:w="2880"/>
          </w:tcPr>
          <w:p>
            <w:r>
              <w:t>1 октомври 1986 година</w:t>
            </w:r>
          </w:p>
        </w:tc>
        <w:tc>
          <w:tcPr>
            <w:tcW w:type="dxa" w:w="2880"/>
          </w:tcPr>
          <w:p>
            <w:r>
              <w:t>—</w:t>
            </w:r>
          </w:p>
        </w:tc>
      </w:tr>
      <w:tr>
        <w:tc>
          <w:tcPr>
            <w:tcW w:type="dxa" w:w="2880"/>
          </w:tcPr>
          <w:p>
            <w:r>
              <w:t>97/55/ЕЗ</w:t>
            </w:r>
          </w:p>
        </w:tc>
        <w:tc>
          <w:tcPr>
            <w:tcW w:type="dxa" w:w="2880"/>
          </w:tcPr>
          <w:p>
            <w:r>
              <w:t>23 април 2000 година</w:t>
            </w:r>
          </w:p>
        </w:tc>
        <w:tc>
          <w:tcPr>
            <w:tcW w:type="dxa" w:w="2880"/>
          </w:tcPr>
          <w:p>
            <w:r>
              <w:t>—</w:t>
            </w:r>
          </w:p>
        </w:tc>
      </w:tr>
      <w:tr>
        <w:tc>
          <w:tcPr>
            <w:tcW w:type="dxa" w:w="2880"/>
          </w:tcPr>
          <w:p>
            <w:r>
              <w:t>2005/29/ЕЗ</w:t>
            </w:r>
          </w:p>
        </w:tc>
        <w:tc>
          <w:tcPr>
            <w:tcW w:type="dxa" w:w="2880"/>
          </w:tcPr>
          <w:p>
            <w:r>
              <w:t>12 јуни 2007 година</w:t>
            </w:r>
          </w:p>
        </w:tc>
        <w:tc>
          <w:tcPr>
            <w:tcW w:type="dxa" w:w="2880"/>
          </w:tcPr>
          <w:p>
            <w:r>
              <w:t>12 декември 2007 година</w:t>
            </w:r>
          </w:p>
        </w:tc>
      </w:tr>
    </w:tbl>
    <w:p>
      <w:r>
        <w:br w:type="page"/>
      </w:r>
    </w:p>
    <w:p w:rsidR="d2157c59">
      <w:r>
        <w:t>27.12.2006</w:t>
      </w:r>
    </w:p>
    <w:p w:rsidR="28a118a2">
      <w:r>
        <w:t>Службен весник на Европската Унија</w:t>
      </w:r>
    </w:p>
    <w:p w:rsidR="a62bb7b9">
      <w:r>
        <w:t>L 376/27</w:t>
      </w:r>
    </w:p>
    <w:p w:rsidR="6dcb0e83">
      <w:r>
        <w:t>EN</w:t>
      </w:r>
    </w:p>
    <w:p w:rsidR="9ce6462a">
      <w:pPr>
        <w:pStyle w:val="Heading2"/>
      </w:pPr>
      <w:r>
        <w:t>АНЕКС II</w:t>
      </w:r>
    </w:p>
    <w:p w:rsidR="dcf81a5e">
      <w:pPr>
        <w:pStyle w:val="Heading2"/>
      </w:pPr>
      <w:r>
        <w:t>ТАБЕЛА НА СООДВЕТНОСТ</w:t>
      </w:r>
    </w:p>
    <w:tbl>
      <w:tblPr>
        <w:tblStyle w:val="TableGrid"/>
        <w:tblW w:type="auto" w:w="0"/>
        <w:tblLook w:firstColumn="1" w:firstRow="1" w:lastColumn="0" w:lastRow="0" w:noHBand="0" w:noVBand="1" w:val="04A0"/>
      </w:tblPr>
      <w:tblGrid>
        <w:gridCol w:w="4320"/>
        <w:gridCol w:w="4320"/>
      </w:tblGrid>
      <w:tr>
        <w:tc>
          <w:tcPr>
            <w:tcW w:type="dxa" w:w="4320"/>
          </w:tcPr>
          <w:p>
            <w:r>
              <w:t>Директива 84/450/ЕЕЗ</w:t>
            </w:r>
          </w:p>
        </w:tc>
        <w:tc>
          <w:tcPr>
            <w:tcW w:type="dxa" w:w="4320"/>
          </w:tcPr>
          <w:p>
            <w:r>
              <w:t>Оваа директива</w:t>
            </w:r>
          </w:p>
        </w:tc>
      </w:tr>
      <w:tr>
        <w:tc>
          <w:tcPr>
            <w:tcW w:type="dxa" w:w="4320"/>
          </w:tcPr>
          <w:p>
            <w:r>
              <w:t>Член 1</w:t>
            </w:r>
          </w:p>
        </w:tc>
        <w:tc>
          <w:tcPr>
            <w:tcW w:type="dxa" w:w="4320"/>
          </w:tcPr>
          <w:p>
            <w:r>
              <w:t>Член 1</w:t>
            </w:r>
          </w:p>
        </w:tc>
      </w:tr>
      <w:tr>
        <w:tc>
          <w:tcPr>
            <w:tcW w:type="dxa" w:w="4320"/>
          </w:tcPr>
          <w:p>
            <w:r>
              <w:t>Член 2, воведни зборови</w:t>
            </w:r>
          </w:p>
        </w:tc>
        <w:tc>
          <w:tcPr>
            <w:tcW w:type="dxa" w:w="4320"/>
          </w:tcPr>
          <w:p>
            <w:r>
              <w:t>Член 2, воведни зборови</w:t>
            </w:r>
          </w:p>
        </w:tc>
      </w:tr>
      <w:tr>
        <w:tc>
          <w:tcPr>
            <w:tcW w:type="dxa" w:w="4320"/>
          </w:tcPr>
          <w:p>
            <w:r>
              <w:t>Член 2, точка 1</w:t>
            </w:r>
          </w:p>
        </w:tc>
        <w:tc>
          <w:tcPr>
            <w:tcW w:type="dxa" w:w="4320"/>
          </w:tcPr>
          <w:p>
            <w:r>
              <w:t>Член 2, точка (а)</w:t>
            </w:r>
          </w:p>
        </w:tc>
      </w:tr>
      <w:tr>
        <w:tc>
          <w:tcPr>
            <w:tcW w:type="dxa" w:w="4320"/>
          </w:tcPr>
          <w:p>
            <w:r>
              <w:t>Член 2, точка 2</w:t>
            </w:r>
          </w:p>
        </w:tc>
        <w:tc>
          <w:tcPr>
            <w:tcW w:type="dxa" w:w="4320"/>
          </w:tcPr>
          <w:p>
            <w:r>
              <w:t>Член 2, точка (б)</w:t>
            </w:r>
          </w:p>
        </w:tc>
      </w:tr>
      <w:tr>
        <w:tc>
          <w:tcPr>
            <w:tcW w:type="dxa" w:w="4320"/>
          </w:tcPr>
          <w:p>
            <w:r>
              <w:t>Член 2, точка 2а</w:t>
            </w:r>
          </w:p>
        </w:tc>
        <w:tc>
          <w:tcPr>
            <w:tcW w:type="dxa" w:w="4320"/>
          </w:tcPr>
          <w:p>
            <w:r>
              <w:t>Член 2, точка (в)</w:t>
            </w:r>
          </w:p>
        </w:tc>
      </w:tr>
      <w:tr>
        <w:tc>
          <w:tcPr>
            <w:tcW w:type="dxa" w:w="4320"/>
          </w:tcPr>
          <w:p>
            <w:r>
              <w:t>Член 2, точка 3</w:t>
            </w:r>
          </w:p>
        </w:tc>
        <w:tc>
          <w:tcPr>
            <w:tcW w:type="dxa" w:w="4320"/>
          </w:tcPr>
          <w:p>
            <w:r>
              <w:t>Член 2, точка (г)</w:t>
            </w:r>
          </w:p>
        </w:tc>
      </w:tr>
      <w:tr>
        <w:tc>
          <w:tcPr>
            <w:tcW w:type="dxa" w:w="4320"/>
          </w:tcPr>
          <w:p>
            <w:r>
              <w:t>Член 2, точка 4</w:t>
            </w:r>
          </w:p>
        </w:tc>
        <w:tc>
          <w:tcPr>
            <w:tcW w:type="dxa" w:w="4320"/>
          </w:tcPr>
          <w:p>
            <w:r>
              <w:t>Член 2, точка (д)</w:t>
            </w:r>
          </w:p>
        </w:tc>
      </w:tr>
      <w:tr>
        <w:tc>
          <w:tcPr>
            <w:tcW w:type="dxa" w:w="4320"/>
          </w:tcPr>
          <w:p>
            <w:r>
              <w:t>Член 3</w:t>
            </w:r>
          </w:p>
        </w:tc>
        <w:tc>
          <w:tcPr>
            <w:tcW w:type="dxa" w:w="4320"/>
          </w:tcPr>
          <w:p>
            <w:r>
              <w:t>Член 3</w:t>
            </w:r>
          </w:p>
        </w:tc>
      </w:tr>
      <w:tr>
        <w:tc>
          <w:tcPr>
            <w:tcW w:type="dxa" w:w="4320"/>
          </w:tcPr>
          <w:p>
            <w:r>
              <w:t>Член 3а(1)</w:t>
            </w:r>
          </w:p>
        </w:tc>
        <w:tc>
          <w:tcPr>
            <w:tcW w:type="dxa" w:w="4320"/>
          </w:tcPr>
          <w:p>
            <w:r>
              <w:t>Член 4</w:t>
            </w:r>
          </w:p>
        </w:tc>
      </w:tr>
      <w:tr>
        <w:tc>
          <w:tcPr>
            <w:tcW w:type="dxa" w:w="4320"/>
          </w:tcPr>
          <w:p>
            <w:r>
              <w:t>Член 4(1), прв потстав, прва реченица</w:t>
            </w:r>
          </w:p>
        </w:tc>
        <w:tc>
          <w:tcPr>
            <w:tcW w:type="dxa" w:w="4320"/>
          </w:tcPr>
          <w:p>
            <w:r>
              <w:t>Член 5(1), прв потстав</w:t>
            </w:r>
          </w:p>
        </w:tc>
      </w:tr>
      <w:tr>
        <w:tc>
          <w:tcPr>
            <w:tcW w:type="dxa" w:w="4320"/>
          </w:tcPr>
          <w:p>
            <w:r>
              <w:t>Член 4(1), прв потстав, втора реченица</w:t>
            </w:r>
          </w:p>
        </w:tc>
        <w:tc>
          <w:tcPr>
            <w:tcW w:type="dxa" w:w="4320"/>
          </w:tcPr>
          <w:p>
            <w:r>
              <w:t>Член 5(1), втор потстав</w:t>
            </w:r>
          </w:p>
        </w:tc>
      </w:tr>
      <w:tr>
        <w:tc>
          <w:tcPr>
            <w:tcW w:type="dxa" w:w="4320"/>
          </w:tcPr>
          <w:p>
            <w:r>
              <w:t>Член 4(1), втор потстав</w:t>
            </w:r>
          </w:p>
        </w:tc>
        <w:tc>
          <w:tcPr>
            <w:tcW w:type="dxa" w:w="4320"/>
          </w:tcPr>
          <w:p>
            <w:r>
              <w:t>Член 5(2), прв потстав</w:t>
            </w:r>
          </w:p>
        </w:tc>
      </w:tr>
      <w:tr>
        <w:tc>
          <w:tcPr>
            <w:tcW w:type="dxa" w:w="4320"/>
          </w:tcPr>
          <w:p>
            <w:r>
              <w:t>Член 4(1), трет потстав</w:t>
            </w:r>
          </w:p>
        </w:tc>
        <w:tc>
          <w:tcPr>
            <w:tcW w:type="dxa" w:w="4320"/>
          </w:tcPr>
          <w:p>
            <w:r>
              <w:t>Член 5 став 2 втор потстав</w:t>
            </w:r>
          </w:p>
        </w:tc>
      </w:tr>
      <w:tr>
        <w:tc>
          <w:tcPr>
            <w:tcW w:type="dxa" w:w="4320"/>
          </w:tcPr>
          <w:p>
            <w:r>
              <w:t>Член 4 став 2 прв потстав, воведни зборови</w:t>
            </w:r>
          </w:p>
        </w:tc>
        <w:tc>
          <w:tcPr>
            <w:tcW w:type="dxa" w:w="4320"/>
          </w:tcPr>
          <w:p>
            <w:r>
              <w:t>Член 5 став 3 прв потстав, воведни зборови</w:t>
            </w:r>
          </w:p>
        </w:tc>
      </w:tr>
      <w:tr>
        <w:tc>
          <w:tcPr>
            <w:tcW w:type="dxa" w:w="4320"/>
          </w:tcPr>
          <w:p>
            <w:r>
              <w:t>Член 4 став 2 прв потстав, прва алинеја</w:t>
            </w:r>
          </w:p>
        </w:tc>
        <w:tc>
          <w:tcPr>
            <w:tcW w:type="dxa" w:w="4320"/>
          </w:tcPr>
          <w:p>
            <w:r>
              <w:t>Член 5 став 3 прв потстав, точка (а)</w:t>
            </w:r>
          </w:p>
        </w:tc>
      </w:tr>
      <w:tr>
        <w:tc>
          <w:tcPr>
            <w:tcW w:type="dxa" w:w="4320"/>
          </w:tcPr>
          <w:p>
            <w:r>
              <w:t>Член 4 став 2 прв потстав, втора алинеја</w:t>
            </w:r>
          </w:p>
        </w:tc>
        <w:tc>
          <w:tcPr>
            <w:tcW w:type="dxa" w:w="4320"/>
          </w:tcPr>
          <w:p>
            <w:r>
              <w:t>Член 5 став 3 прв потстав, точка (б)</w:t>
            </w:r>
          </w:p>
        </w:tc>
      </w:tr>
      <w:tr>
        <w:tc>
          <w:tcPr>
            <w:tcW w:type="dxa" w:w="4320"/>
          </w:tcPr>
          <w:p>
            <w:r>
              <w:t>Член 4 став 2 прв потстав, завршни зборови</w:t>
            </w:r>
          </w:p>
        </w:tc>
        <w:tc>
          <w:tcPr>
            <w:tcW w:type="dxa" w:w="4320"/>
          </w:tcPr>
          <w:p>
            <w:r>
              <w:t>Член 5 став 3 втор потстав</w:t>
            </w:r>
          </w:p>
        </w:tc>
      </w:tr>
      <w:tr>
        <w:tc>
          <w:tcPr>
            <w:tcW w:type="dxa" w:w="4320"/>
          </w:tcPr>
          <w:p>
            <w:r>
              <w:t>Член 4 став 2 втор потстав, воведни зборови</w:t>
            </w:r>
          </w:p>
        </w:tc>
        <w:tc>
          <w:tcPr>
            <w:tcW w:type="dxa" w:w="4320"/>
          </w:tcPr>
          <w:p>
            <w:r>
              <w:t>Член 5 став 3 трет потстав</w:t>
            </w:r>
          </w:p>
        </w:tc>
      </w:tr>
      <w:tr>
        <w:tc>
          <w:tcPr>
            <w:tcW w:type="dxa" w:w="4320"/>
          </w:tcPr>
          <w:p>
            <w:r>
              <w:t>Член 4 став 2 втор потстав прва алинеја</w:t>
            </w:r>
          </w:p>
        </w:tc>
        <w:tc>
          <w:tcPr>
            <w:tcW w:type="dxa" w:w="4320"/>
          </w:tcPr>
          <w:p>
            <w:r>
              <w:t>Член 5 став 3 трет потстав</w:t>
            </w:r>
          </w:p>
        </w:tc>
      </w:tr>
      <w:tr>
        <w:tc>
          <w:tcPr>
            <w:tcW w:type="dxa" w:w="4320"/>
          </w:tcPr>
          <w:p>
            <w:r>
              <w:t>Член 4 став 2 втор потстав втора алинеја</w:t>
            </w:r>
          </w:p>
        </w:tc>
        <w:tc>
          <w:tcPr>
            <w:tcW w:type="dxa" w:w="4320"/>
          </w:tcPr>
          <w:p>
            <w:r>
              <w:t>Член 5 став 3 трет потстав</w:t>
            </w:r>
          </w:p>
        </w:tc>
      </w:tr>
      <w:tr>
        <w:tc>
          <w:tcPr>
            <w:tcW w:type="dxa" w:w="4320"/>
          </w:tcPr>
          <w:p>
            <w:r>
              <w:t>Член 4 став 2 втор потстав завршни зборови</w:t>
            </w:r>
          </w:p>
        </w:tc>
        <w:tc>
          <w:tcPr>
            <w:tcW w:type="dxa" w:w="4320"/>
          </w:tcPr>
          <w:p>
            <w:r>
              <w:t>Член 5 став 3 трет потстав</w:t>
            </w:r>
          </w:p>
        </w:tc>
      </w:tr>
      <w:tr>
        <w:tc>
          <w:tcPr>
            <w:tcW w:type="dxa" w:w="4320"/>
          </w:tcPr>
          <w:p>
            <w:r>
              <w:t>Член 4 став 2 трет потстав воведни зборови</w:t>
            </w:r>
          </w:p>
        </w:tc>
        <w:tc>
          <w:tcPr>
            <w:tcW w:type="dxa" w:w="4320"/>
          </w:tcPr>
          <w:p>
            <w:r>
              <w:t>Член 5 став 4 воведни зборови</w:t>
            </w:r>
          </w:p>
        </w:tc>
      </w:tr>
      <w:tr>
        <w:tc>
          <w:tcPr>
            <w:tcW w:type="dxa" w:w="4320"/>
          </w:tcPr>
          <w:p>
            <w:r>
              <w:t>Член 4 став 2 трет потстав прва алинеја</w:t>
            </w:r>
          </w:p>
        </w:tc>
        <w:tc>
          <w:tcPr>
            <w:tcW w:type="dxa" w:w="4320"/>
          </w:tcPr>
          <w:p>
            <w:r>
              <w:t>Член 5, став 4, точка (а)</w:t>
            </w:r>
          </w:p>
        </w:tc>
      </w:tr>
      <w:tr>
        <w:tc>
          <w:tcPr>
            <w:tcW w:type="dxa" w:w="4320"/>
          </w:tcPr>
          <w:p>
            <w:r>
              <w:t>Член 4, став 2, трет потстав, втора алинеја</w:t>
            </w:r>
          </w:p>
        </w:tc>
        <w:tc>
          <w:tcPr>
            <w:tcW w:type="dxa" w:w="4320"/>
          </w:tcPr>
          <w:p>
            <w:r>
              <w:t>Член 5, став 4, точка (б)</w:t>
            </w:r>
          </w:p>
        </w:tc>
      </w:tr>
      <w:tr>
        <w:tc>
          <w:tcPr>
            <w:tcW w:type="dxa" w:w="4320"/>
          </w:tcPr>
          <w:p>
            <w:r>
              <w:t>Член 4, став 3, прв потстав</w:t>
            </w:r>
          </w:p>
        </w:tc>
        <w:tc>
          <w:tcPr>
            <w:tcW w:type="dxa" w:w="4320"/>
          </w:tcPr>
          <w:p>
            <w:r>
              <w:t>Член 5, став 5</w:t>
            </w:r>
          </w:p>
        </w:tc>
      </w:tr>
      <w:tr>
        <w:tc>
          <w:tcPr>
            <w:tcW w:type="dxa" w:w="4320"/>
          </w:tcPr>
          <w:p>
            <w:r>
              <w:t>Член 4, став 3, втор потстав</w:t>
            </w:r>
          </w:p>
        </w:tc>
        <w:tc>
          <w:tcPr>
            <w:tcW w:type="dxa" w:w="4320"/>
          </w:tcPr>
          <w:p>
            <w:r>
              <w:t>Член 5, став 6</w:t>
            </w:r>
          </w:p>
        </w:tc>
      </w:tr>
      <w:tr>
        <w:tc>
          <w:tcPr>
            <w:tcW w:type="dxa" w:w="4320"/>
          </w:tcPr>
          <w:p>
            <w:r>
              <w:t>Член 5</w:t>
            </w:r>
          </w:p>
        </w:tc>
        <w:tc>
          <w:tcPr>
            <w:tcW w:type="dxa" w:w="4320"/>
          </w:tcPr>
          <w:p>
            <w:r>
              <w:t>Член 6</w:t>
            </w:r>
          </w:p>
        </w:tc>
      </w:tr>
      <w:tr>
        <w:tc>
          <w:tcPr>
            <w:tcW w:type="dxa" w:w="4320"/>
          </w:tcPr>
          <w:p>
            <w:r>
              <w:t>Член 6</w:t>
            </w:r>
          </w:p>
        </w:tc>
        <w:tc>
          <w:tcPr>
            <w:tcW w:type="dxa" w:w="4320"/>
          </w:tcPr>
          <w:p>
            <w:r>
              <w:t>Член 7</w:t>
            </w:r>
          </w:p>
        </w:tc>
      </w:tr>
      <w:tr>
        <w:tc>
          <w:tcPr>
            <w:tcW w:type="dxa" w:w="4320"/>
          </w:tcPr>
          <w:p>
            <w:r>
              <w:t>Член 7(1)</w:t>
            </w:r>
          </w:p>
        </w:tc>
        <w:tc>
          <w:tcPr>
            <w:tcW w:type="dxa" w:w="4320"/>
          </w:tcPr>
          <w:p>
            <w:r>
              <w:t>Член 8(1), прв потстав</w:t>
            </w:r>
          </w:p>
        </w:tc>
      </w:tr>
      <w:tr>
        <w:tc>
          <w:tcPr>
            <w:tcW w:type="dxa" w:w="4320"/>
          </w:tcPr>
          <w:p>
            <w:r>
              <w:t>Член 7(2)</w:t>
            </w:r>
          </w:p>
        </w:tc>
        <w:tc>
          <w:tcPr>
            <w:tcW w:type="dxa" w:w="4320"/>
          </w:tcPr>
          <w:p>
            <w:r>
              <w:t>Член 8(1), втор потстав</w:t>
            </w:r>
          </w:p>
        </w:tc>
      </w:tr>
      <w:tr>
        <w:tc>
          <w:tcPr>
            <w:tcW w:type="dxa" w:w="4320"/>
          </w:tcPr>
          <w:p>
            <w:r>
              <w:t>Член 7(3)</w:t>
            </w:r>
          </w:p>
        </w:tc>
        <w:tc>
          <w:tcPr>
            <w:tcW w:type="dxa" w:w="4320"/>
          </w:tcPr>
          <w:p>
            <w:r>
              <w:t>Член 8(2)</w:t>
            </w:r>
          </w:p>
        </w:tc>
      </w:tr>
      <w:tr>
        <w:tc>
          <w:tcPr>
            <w:tcW w:type="dxa" w:w="4320"/>
          </w:tcPr>
          <w:p>
            <w:r>
              <w:t>Член 7(4)</w:t>
            </w:r>
          </w:p>
        </w:tc>
        <w:tc>
          <w:tcPr>
            <w:tcW w:type="dxa" w:w="4320"/>
          </w:tcPr>
          <w:p>
            <w:r>
              <w:t>Член 8(3)</w:t>
            </w:r>
          </w:p>
        </w:tc>
      </w:tr>
      <w:tr>
        <w:tc>
          <w:tcPr>
            <w:tcW w:type="dxa" w:w="4320"/>
          </w:tcPr>
          <w:p>
            <w:r>
              <w:t>Член 7(5)</w:t>
            </w:r>
          </w:p>
        </w:tc>
        <w:tc>
          <w:tcPr>
            <w:tcW w:type="dxa" w:w="4320"/>
          </w:tcPr>
          <w:p>
            <w:r>
              <w:t>Член 8(4)</w:t>
            </w:r>
          </w:p>
        </w:tc>
      </w:tr>
      <w:tr>
        <w:tc>
          <w:tcPr>
            <w:tcW w:type="dxa" w:w="4320"/>
          </w:tcPr>
          <w:p>
            <w:r>
              <w:t>Член 8, прв потстав</w:t>
            </w:r>
          </w:p>
        </w:tc>
        <w:tc>
          <w:tcPr>
            <w:tcW w:type="dxa" w:w="4320"/>
          </w:tcPr>
          <w:p>
            <w:r>
              <w:t>—</w:t>
            </w:r>
          </w:p>
        </w:tc>
      </w:tr>
      <w:tr>
        <w:tc>
          <w:tcPr>
            <w:tcW w:type="dxa" w:w="4320"/>
          </w:tcPr>
          <w:p>
            <w:r>
              <w:t>Член 8, втор потстав</w:t>
            </w:r>
          </w:p>
        </w:tc>
        <w:tc>
          <w:tcPr>
            <w:tcW w:type="dxa" w:w="4320"/>
          </w:tcPr>
          <w:p>
            <w:r>
              <w:t>Член 9</w:t>
            </w:r>
          </w:p>
        </w:tc>
      </w:tr>
      <w:tr>
        <w:tc>
          <w:tcPr>
            <w:tcW w:type="dxa" w:w="4320"/>
          </w:tcPr>
          <w:p>
            <w:r>
              <w:t>—</w:t>
            </w:r>
          </w:p>
        </w:tc>
        <w:tc>
          <w:tcPr>
            <w:tcW w:type="dxa" w:w="4320"/>
          </w:tcPr>
          <w:p>
            <w:r>
              <w:t>Член 10</w:t>
            </w:r>
          </w:p>
        </w:tc>
      </w:tr>
      <w:tr>
        <w:tc>
          <w:tcPr>
            <w:tcW w:type="dxa" w:w="4320"/>
          </w:tcPr>
          <w:p>
            <w:r>
              <w:t>—</w:t>
            </w:r>
          </w:p>
        </w:tc>
        <w:tc>
          <w:tcPr>
            <w:tcW w:type="dxa" w:w="4320"/>
          </w:tcPr>
          <w:p>
            <w:r>
              <w:t>Член 11</w:t>
            </w:r>
          </w:p>
        </w:tc>
      </w:tr>
      <w:tr>
        <w:tc>
          <w:tcPr>
            <w:tcW w:type="dxa" w:w="4320"/>
          </w:tcPr>
          <w:p>
            <w:r>
              <w:t>Член 9</w:t>
            </w:r>
          </w:p>
        </w:tc>
        <w:tc>
          <w:tcPr>
            <w:tcW w:type="dxa" w:w="4320"/>
          </w:tcPr>
          <w:p>
            <w:r>
              <w:t>Член 12</w:t>
            </w:r>
          </w:p>
        </w:tc>
      </w:tr>
      <w:tr>
        <w:tc>
          <w:tcPr>
            <w:tcW w:type="dxa" w:w="4320"/>
          </w:tcPr>
          <w:p>
            <w:r>
              <w:t>—</w:t>
            </w:r>
          </w:p>
        </w:tc>
        <w:tc>
          <w:tcPr>
            <w:tcW w:type="dxa" w:w="4320"/>
          </w:tcPr>
          <w:p>
            <w:r>
              <w:t>Анекс I</w:t>
            </w:r>
          </w:p>
        </w:tc>
      </w:tr>
      <w:tr>
        <w:tc>
          <w:tcPr>
            <w:tcW w:type="dxa" w:w="4320"/>
          </w:tcPr>
          <w:p>
            <w:r>
              <w:t>—</w:t>
            </w:r>
          </w:p>
        </w:tc>
        <w:tc>
          <w:tcPr>
            <w:tcW w:type="dxa" w:w="4320"/>
          </w:tcPr>
          <w:p>
            <w:r>
              <w:t>Анекс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