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concerning misleading and comparative advertising </w:t>
      </w:r>
      <w:r>
        <w:rPr>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Member States relating to trade marks </w:t>
      </w:r>
      <w:r>
        <w:rPr>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including the right to prevent all third parties from using, in the course of trade, any sign which is identical to, or similar to, the trade mark in relation to identical goods or services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comparative advertising effective, to identify the goods or services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distinguishing marks does not breach this exclusive right in cases where it complies with the conditions laid down by this Directive, the intended target being solely to distinguish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powers enabling them to order or obtain the cessation of misleading and unlawful comparative advertising. In certain cases it may be desirable to prohibit misleading and unlawful comparative advertising even before it is published. However, this in no way implies that Member States are under an obligation to introduce rules requiring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revision of a code of conduct and/or for monitoring compliance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availability, nature, execution, composition, method and date of manufacture or provision, fitness for purpose, uses, quantity, specification, geographical or commercial origin or the results to be expected from their use, or the results and material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verifiable and representative features of those goods and services,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competitor or of the designation of origin of competing products;</w:t>
      </w:r>
    </w:p>
    <w:p w:rsidR="e3c5fbfb">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62dca3b6">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advertising has not yet been published but publication is imminent,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administrative authorities powers enabling them, with a view to eliminating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exercise of its powers by the administrative authority or improper or unreasonable failure to exercise the said powers can be the subject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prejudice to Community provisions on advertising for specific products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advertising bans regarding certain goods or services, whether imposed directly or by a body or organisation responsible, under the law of the Member States, for regulating the exercise of a commercial, industrial, craft or professional activity, to permit comparative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Opinion of 26 October 2006 (not yet published in the Official Journal).</w:t>
      </w:r>
    </w:p>
  </w:footnote>
  <w:footnote w:id="2">
    <w:p>
      <w:pPr>
        <w:jc w:val="both"/>
        <w:spacing w:before="0" w:after="0" w:line="240" w:lineRule="auto"/>
        <w:ind w:left="170" w:hanging="283"/>
        <w:tabs>
          <w:tab w:val="left" w:pos="454"/>
        </w:tabs>
      </w:pPr>
      <w:r>
        <w:rPr>
          <w:rFonts w:ascii="Times New Roman" w:hAnsi="Times New Roman" w:eastAsia="Times New Roman" w:cs="Times New Roman"/>
          <w:sz w:val="22"/>
          <w:color w:val="000000"/>
        </w:rPr>
        <w:t>(2)</w:t>
        <w:tab/>
      </w:r>
      <w:r>
        <w:rPr>
          <w:rFonts w:ascii="Times New Roman" w:hAnsi="Times New Roman" w:eastAsia="Times New Roman" w:cs="Times New Roman"/>
          <w:sz w:val="22"/>
          <w:color w:val="000000"/>
        </w:rPr>
        <w:t>Opinion of the European Parliament of 12 October 2006 (not yet published in the Official Journal) and Council Decision of 30 November 2006.</w:t>
      </w:r>
    </w:p>
  </w:footnote>
  <w:footnote w:id="3">
    <w:p>
      <w:pPr>
        <w:jc w:val="both"/>
        <w:spacing w:before="0" w:after="0" w:line="240" w:lineRule="auto"/>
        <w:ind w:left="170" w:hanging="283"/>
        <w:tabs>
          <w:tab w:val="left" w:pos="454"/>
        </w:tabs>
      </w:pPr>
      <w:r>
        <w:rPr>
          <w:rFonts w:ascii="Times New Roman" w:hAnsi="Times New Roman" w:eastAsia="Times New Roman" w:cs="Times New Roman"/>
          <w:sz w:val="22"/>
          <w:color w:val="000000"/>
        </w:rPr>
        <w:t>(3)</w:t>
        <w:tab/>
      </w:r>
      <w:r>
        <w:rPr>
          <w:rFonts w:ascii="Times New Roman" w:hAnsi="Times New Roman" w:eastAsia="Times New Roman" w:cs="Times New Roman"/>
          <w:sz w:val="22"/>
          <w:color w:val="000000"/>
        </w:rPr>
        <w:t>OJ L 250, 19.9.1984, p. 17. Directive as last amended by Directive 2005/29/EC of the European Parliament and of the Council (OJ L 149, 11.6.2005, p. 22).</w:t>
      </w:r>
    </w:p>
  </w:footnote>
  <w:footnote w:id="4">
    <w:p>
      <w:pPr>
        <w:jc w:val="both"/>
        <w:spacing w:before="0" w:after="0" w:line="240" w:lineRule="auto"/>
        <w:ind w:left="170" w:hanging="283"/>
        <w:tabs>
          <w:tab w:val="left" w:pos="454"/>
        </w:tabs>
      </w:pPr>
      <w:r>
        <w:rPr>
          <w:rFonts w:ascii="Times New Roman" w:hAnsi="Times New Roman" w:eastAsia="Times New Roman" w:cs="Times New Roman"/>
          <w:sz w:val="22"/>
          <w:color w:val="000000"/>
        </w:rPr>
        <w:t>(4)</w:t>
        <w:tab/>
      </w:r>
      <w:r>
        <w:rPr>
          <w:rFonts w:ascii="Times New Roman" w:hAnsi="Times New Roman" w:eastAsia="Times New Roman" w:cs="Times New Roman"/>
          <w:sz w:val="22"/>
          <w:color w:val="000000"/>
        </w:rPr>
        <w:t>See Annex I, Part A.</w:t>
      </w:r>
    </w:p>
  </w:footnote>
  <w:footnote w:id="5">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OJ L 93, 31.3.2006, p. 12.</w:t>
      </w:r>
    </w:p>
  </w:footnote>
  <w:footnote w:id="6">
    <w:p>
      <w:pPr>
        <w:jc w:val="both"/>
        <w:spacing w:before="0" w:after="0" w:line="240" w:lineRule="auto"/>
        <w:ind w:left="170" w:hanging="283"/>
        <w:tabs>
          <w:tab w:val="left" w:pos="454"/>
        </w:tabs>
      </w:pPr>
      <w:r>
        <w:rPr>
          <w:rFonts w:ascii="Times New Roman" w:hAnsi="Times New Roman" w:eastAsia="Times New Roman" w:cs="Times New Roman"/>
          <w:sz w:val="22"/>
          <w:color w:val="000000"/>
        </w:rPr>
        <w:t>(2)</w:t>
        <w:tab/>
      </w:r>
      <w:r>
        <w:rPr>
          <w:rFonts w:ascii="Times New Roman" w:hAnsi="Times New Roman" w:eastAsia="Times New Roman" w:cs="Times New Roman"/>
          <w:sz w:val="22"/>
          <w:color w:val="000000"/>
        </w:rPr>
        <w:t>OJ L 40, 11.2.1989, p. 1. Directive as amended by Decision 92/10/EEC (OJ L 6, 11.1.1992, p. 35).</w:t>
      </w:r>
    </w:p>
  </w:footnote>
  <w:footnote w:id="7">
    <w:p>
      <w:pPr>
        <w:jc w:val="both"/>
        <w:spacing w:before="0" w:after="0" w:line="240" w:lineRule="auto"/>
        <w:ind w:left="170" w:hanging="283"/>
        <w:tabs>
          <w:tab w:val="left" w:pos="454"/>
        </w:tabs>
      </w:pPr>
      <w:r>
        <w:rPr>
          <w:rFonts w:ascii="Times New Roman" w:hAnsi="Times New Roman" w:eastAsia="Times New Roman" w:cs="Times New Roman"/>
          <w:sz w:val="22"/>
          <w:color w:val="000000"/>
        </w:rPr>
        <w:t>(1)</w:t>
        <w:tab/>
      </w:r>
      <w:r>
        <w:rPr>
          <w:rFonts w:ascii="Times New Roman" w:hAnsi="Times New Roman" w:eastAsia="Times New Roman" w:cs="Times New Roman"/>
          <w:sz w:val="22"/>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