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2"/>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b18fae8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w:t>
      </w:r>
      <w:r>
        <w:rPr>
          <w:rFonts w:ascii="Times New Roman" w:hAnsi="Times New Roman"/>
          <w:b w:val="0"/>
          <w:i w:val="0"/>
          <w:color w:val="000000"/>
          <w:sz w:val="24"/>
        </w:rPr>
        <w:tab/>
      </w:r>
      <w:r>
        <w:rPr>
          <w:rFonts w:ascii="Times New Roman" w:hAnsi="Times New Roman"/>
          <w:b w:val="0"/>
          <w:i w:val="0"/>
          <w:color w:val="000000"/>
          <w:sz w:val="24"/>
        </w:rPr>
        <w:t>Council Directive 84/450/EEC of 10 September 1984 concerning misleading and comparative advertising </w:t>
      </w:r>
      <w:r>
        <w:rPr>
          <w:rFonts w:ascii="Times New Roman" w:hAnsi="Times New Roman" w:eastAsia="Times New Roman" w:cs="Times New Roman"/>
          <w:sz w:val="22"/>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2"/>
          <w:color w:val="000000"/>
          <w:vertAlign w:val="superscript"/>
        </w:rPr>
        <w:footnoteReference w:id="4" w:customMarkFollows="1"/>
        <w:t>(4)</w:t>
      </w:r>
      <w:r>
        <w:rPr>
          <w:rFonts w:ascii="Times New Roman" w:hAnsi="Times New Roman"/>
          <w:b w:val="0"/>
          <w:i w:val="0"/>
          <w:color w:val="000000"/>
          <w:sz w:val="24"/>
        </w:rPr>
        <w:t>. In the interests of clarity and rationality the said Directive should be codified.</w:t>
      </w:r>
    </w:p>
    <w:p w:rsidR="fb67bd18">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w:t>
      </w:r>
      <w:r>
        <w:rPr>
          <w:rFonts w:ascii="Times New Roman" w:hAnsi="Times New Roman"/>
          <w:b w:val="0"/>
          <w:i w:val="0"/>
          <w:color w:val="000000"/>
          <w:sz w:val="24"/>
        </w:rPr>
        <w:tab/>
      </w: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e59e3dec">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(3)</w:t>
      </w:r>
      <w:r>
        <w:rPr>
          <w:rFonts w:ascii="Times New Roman" w:hAnsi="Times New Roman"/>
          <w:b w:val="0"/>
          <w:i w:val="0"/>
          <w:color w:val="000000"/>
          <w:sz w:val="24"/>
        </w:rPr>
        <w:tab/>
      </w:r>
      <w:r>
        <w:rPr>
          <w:rFonts w:ascii="Times New Roman" w:hAnsi="Times New Roman"/>
          <w:b w:val="0"/>
          <w:i w:val="0"/>
          <w:color w:val="000000"/>
          <w:sz w:val="24"/>
        </w:rPr>
        <w:t>Misleading and unlawful comparative advertising can lead to distortion of competition within the internal market.</w:t>
      </w:r>
    </w:p>
    <w:p w:rsidR="84a1dce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(4)</w:t>
      </w:r>
      <w:r>
        <w:rPr>
          <w:rFonts w:ascii="Times New Roman" w:hAnsi="Times New Roman"/>
          <w:b w:val="0"/>
          <w:i w:val="0"/>
          <w:color w:val="000000"/>
          <w:sz w:val="24"/>
        </w:rPr>
        <w:tab/>
      </w:r>
      <w:r>
        <w:rPr>
          <w:rFonts w:ascii="Times New Roman" w:hAnsi="Times New Roman"/>
          <w:b w:val="0"/>
          <w:i w:val="0"/>
          <w:color w:val="000000"/>
          <w:sz w:val="24"/>
        </w:rPr>
        <w:t>Advertising, whether or not it induces a contract, affects the economic welfare of consumers and traders.</w:t>
      </w:r>
    </w:p>
    <w:p w:rsidR="881a1e7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(5)</w:t>
      </w:r>
      <w:r>
        <w:rPr>
          <w:rFonts w:ascii="Times New Roman" w:hAnsi="Times New Roman"/>
          <w:b w:val="0"/>
          <w:i w:val="0"/>
          <w:color w:val="000000"/>
          <w:sz w:val="24"/>
        </w:rPr>
        <w:tab/>
      </w: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23d02f3e">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(6)</w:t>
      </w:r>
      <w:r>
        <w:rPr>
          <w:rFonts w:ascii="Times New Roman" w:hAnsi="Times New Roman"/>
          <w:b w:val="0"/>
          <w:i w:val="0"/>
          <w:color w:val="000000"/>
          <w:sz w:val="24"/>
        </w:rPr>
        <w:tab/>
      </w: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advertising can also stimulate competition between suppliers of goods and services to the consumer’s advantage.</w:t>
      </w:r>
    </w:p>
    <w:p w:rsidR="d51f058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(7)</w:t>
      </w:r>
      <w:r>
        <w:rPr>
          <w:rFonts w:ascii="Times New Roman" w:hAnsi="Times New Roman"/>
          <w:b w:val="0"/>
          <w:i w:val="0"/>
          <w:color w:val="000000"/>
          <w:sz w:val="24"/>
        </w:rPr>
        <w:tab/>
      </w:r>
      <w:r>
        <w:rPr>
          <w:rFonts w:ascii="Times New Roman" w:hAnsi="Times New Roman"/>
          <w:b w:val="0"/>
          <w:i w:val="0"/>
          <w:color w:val="000000"/>
          <w:sz w:val="24"/>
        </w:rPr>
        <w:t>Minimum and objective criteria for determining whether advertising is misleading should be established.</w:t>
      </w:r>
    </w:p>
    <w:p w:rsidR="5fa1e4fb">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(8)</w:t>
      </w:r>
      <w:r>
        <w:rPr>
          <w:rFonts w:ascii="Times New Roman" w:hAnsi="Times New Roman"/>
          <w:b w:val="0"/>
          <w:i w:val="0"/>
          <w:color w:val="000000"/>
          <w:sz w:val="24"/>
        </w:rPr>
        <w:tab/>
      </w:r>
      <w:r>
        <w:rPr>
          <w:rFonts w:ascii="Times New Roman" w:hAnsi="Times New Roman"/>
          <w:b w:val="0"/>
          <w:i w:val="0"/>
          <w:color w:val="000000"/>
          <w:sz w:val="24"/>
        </w:rPr>
        <w:t>Comparative advertising, when it compares material, relevant, verifiable and representative features and is not misleading, may be a legitimate means of informing consumers of their advantage. It is desirable to provide a broad concept of comparative advertising to cover all modes of comparative advertising.</w:t>
      </w:r>
    </w:p>
    <w:p w:rsidR="6c411b03">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(9)</w:t>
      </w:r>
      <w:r>
        <w:rPr>
          <w:rFonts w:ascii="Times New Roman" w:hAnsi="Times New Roman"/>
          <w:b w:val="0"/>
          <w:i w:val="0"/>
          <w:color w:val="000000"/>
          <w:sz w:val="24"/>
        </w:rPr>
        <w:tab/>
      </w: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comparative advertising may distort competition, be detrimental to competitors and have an adverse effect on consumer choice. Such conditions of permitted advertising should include criteria of objective comparison of the features of goods and services.</w:t>
      </w:r>
    </w:p>
    <w:p w:rsidR="41b0f3d5">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(10)</w:t>
      </w:r>
      <w:r>
        <w:rPr>
          <w:rFonts w:ascii="Times New Roman" w:hAnsi="Times New Roman"/>
          <w:b w:val="0"/>
          <w:i w:val="0"/>
          <w:color w:val="000000"/>
          <w:sz w:val="24"/>
        </w:rPr>
        <w:tab/>
      </w: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d3561e8d">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(11)</w:t>
      </w:r>
      <w:r>
        <w:rPr>
          <w:rFonts w:ascii="Times New Roman" w:hAnsi="Times New Roman"/>
          <w:b w:val="0"/>
          <w:i w:val="0"/>
          <w:color w:val="000000"/>
          <w:sz w:val="24"/>
        </w:rPr>
        <w:tab/>
      </w: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6f0809e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(12)</w:t>
      </w:r>
      <w:r>
        <w:rPr>
          <w:rFonts w:ascii="Times New Roman" w:hAnsi="Times New Roman"/>
          <w:b w:val="0"/>
          <w:i w:val="0"/>
          <w:color w:val="000000"/>
          <w:sz w:val="24"/>
        </w:rPr>
        <w:tab/>
      </w:r>
      <w:r>
        <w:rPr>
          <w:rFonts w:ascii="Times New Roman" w:hAnsi="Times New Roman"/>
          <w:b w:val="0"/>
          <w:i w:val="0"/>
          <w:color w:val="000000"/>
          <w:sz w:val="24"/>
        </w:rPr>
        <w:t>These conditions should include, in particular, consideration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2"/>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provisions adopted in the agricultural sphere.</w:t>
      </w:r>
    </w:p>
    <w:p w:rsidR="b009624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(13)</w:t>
      </w:r>
      <w:r>
        <w:rPr>
          <w:rFonts w:ascii="Times New Roman" w:hAnsi="Times New Roman"/>
          <w:b w:val="0"/>
          <w:i w:val="0"/>
          <w:color w:val="000000"/>
          <w:sz w:val="24"/>
        </w:rPr>
        <w:tab/>
      </w:r>
      <w:r>
        <w:rPr>
          <w:rFonts w:ascii="Times New Roman" w:hAnsi="Times New Roman"/>
          <w:b w:val="0"/>
          <w:i w:val="0"/>
          <w:color w:val="000000"/>
          <w:sz w:val="24"/>
        </w:rPr>
        <w:t>Article 5 of First Council Directive 89/104/EEC of 21 December 1988 to approximate the laws of the Member States relating to trade marks </w:t>
      </w:r>
      <w:r>
        <w:rPr>
          <w:rFonts w:ascii="Times New Roman" w:hAnsi="Times New Roman" w:eastAsia="Times New Roman" w:cs="Times New Roman"/>
          <w:sz w:val="22"/>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including the right to prevent all third parties from using, in the course of trade, any sign which is identical to, or similar to, the trade mark in relation to identical goods or services or even, where appropriate, other goods.</w:t>
      </w:r>
    </w:p>
    <w:p w:rsidR="e0dbb7ca">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(14)</w:t>
      </w:r>
      <w:r>
        <w:rPr>
          <w:rFonts w:ascii="Times New Roman" w:hAnsi="Times New Roman"/>
          <w:b w:val="0"/>
          <w:i w:val="0"/>
          <w:color w:val="000000"/>
          <w:sz w:val="24"/>
        </w:rPr>
        <w:tab/>
      </w:r>
      <w:r>
        <w:rPr>
          <w:rFonts w:ascii="Times New Roman" w:hAnsi="Times New Roman"/>
          <w:b w:val="0"/>
          <w:i w:val="0"/>
          <w:color w:val="000000"/>
          <w:sz w:val="24"/>
        </w:rPr>
        <w:t>It may, however, be indispensable, in order to make comparative advertising effective, to identify the goods or services of a competitor, making reference to a trade mark or trade name of which the latter is the proprietor.</w:t>
      </w:r>
    </w:p>
    <w:p w:rsidR="a39e9284">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(15)</w:t>
      </w:r>
      <w:r>
        <w:rPr>
          <w:rFonts w:ascii="Times New Roman" w:hAnsi="Times New Roman"/>
          <w:b w:val="0"/>
          <w:i w:val="0"/>
          <w:color w:val="000000"/>
          <w:sz w:val="24"/>
        </w:rPr>
        <w:tab/>
      </w:r>
      <w:r>
        <w:rPr>
          <w:rFonts w:ascii="Times New Roman" w:hAnsi="Times New Roman"/>
          <w:b w:val="0"/>
          <w:i w:val="0"/>
          <w:color w:val="000000"/>
          <w:sz w:val="24"/>
        </w:rPr>
        <w:t>Such use of another’s trade mark, trade name or other distinguishing marks does not breach this exclusive right in cases where it complies with the conditions laid down by this Directive, the intended target being solely to distinguish between them and thus to highlight differences objectively.</w:t>
      </w:r>
    </w:p>
    <w:p w:rsidR="7425ce00">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(16)</w:t>
      </w:r>
      <w:r>
        <w:rPr>
          <w:rFonts w:ascii="Times New Roman" w:hAnsi="Times New Roman"/>
          <w:b w:val="0"/>
          <w:i w:val="0"/>
          <w:color w:val="000000"/>
          <w:sz w:val="24"/>
        </w:rPr>
        <w:tab/>
      </w: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55d68a9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(17)</w:t>
      </w:r>
      <w:r>
        <w:rPr>
          <w:rFonts w:ascii="Times New Roman" w:hAnsi="Times New Roman"/>
          <w:b w:val="0"/>
          <w:i w:val="0"/>
          <w:color w:val="000000"/>
          <w:sz w:val="24"/>
        </w:rPr>
        <w:tab/>
      </w:r>
      <w:r>
        <w:rPr>
          <w:rFonts w:ascii="Times New Roman" w:hAnsi="Times New Roman"/>
          <w:b w:val="0"/>
          <w:i w:val="0"/>
          <w:color w:val="000000"/>
          <w:sz w:val="24"/>
        </w:rPr>
        <w:t>The courts or administrative authorities should have powers enabling them to order or obtain the cessation of misleading and unlawful comparative advertising. In certain cases it may be desirable to prohibit misleading and unlawful comparative advertising even before it is published. However, this in no way implies that Member States are under an obligation to introduce rules requiring the systematic prior vetting of advertising.</w:t>
      </w:r>
    </w:p>
    <w:p w:rsidR="1ac0a8c2">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(18)</w:t>
      </w:r>
      <w:r>
        <w:rPr>
          <w:rFonts w:ascii="Times New Roman" w:hAnsi="Times New Roman"/>
          <w:b w:val="0"/>
          <w:i w:val="0"/>
          <w:color w:val="000000"/>
          <w:sz w:val="24"/>
        </w:rPr>
        <w:tab/>
      </w:r>
      <w:r>
        <w:rPr>
          <w:rFonts w:ascii="Times New Roman" w:hAnsi="Times New Roman"/>
          <w:b w:val="0"/>
          <w:i w:val="0"/>
          <w:color w:val="000000"/>
          <w:sz w:val="24"/>
        </w:rPr>
        <w:t>The voluntary control exercised by self-regulatory bodies to eliminate misleading or unlawful comparative advertising may avoid recourse to administrative or judicial action and ought therefore to be encouraged.</w:t>
      </w:r>
    </w:p>
    <w:p w:rsidR="bd755f31">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(19)</w:t>
      </w:r>
      <w:r>
        <w:rPr>
          <w:rFonts w:ascii="Times New Roman" w:hAnsi="Times New Roman"/>
          <w:b w:val="0"/>
          <w:i w:val="0"/>
          <w:color w:val="000000"/>
          <w:sz w:val="24"/>
        </w:rPr>
        <w:tab/>
      </w:r>
      <w:r>
        <w:rPr>
          <w:rFonts w:ascii="Times New Roman" w:hAnsi="Times New Roman"/>
          <w:b w:val="0"/>
          <w:i w:val="0"/>
          <w:color w:val="000000"/>
          <w:sz w:val="24"/>
        </w:rPr>
        <w:t>While it is for national law to determine the burden of proof, it is appropriate to enable courts and administrative authorities to require traders to produce evidence as to the accuracy of factual claims they have made.</w:t>
      </w:r>
    </w:p>
    <w:p w:rsidR="69d207ff">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(20)</w:t>
      </w:r>
      <w:r>
        <w:rPr>
          <w:rFonts w:ascii="Times New Roman" w:hAnsi="Times New Roman"/>
          <w:b w:val="0"/>
          <w:i w:val="0"/>
          <w:color w:val="000000"/>
          <w:sz w:val="24"/>
        </w:rPr>
        <w:tab/>
      </w: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Member States to choose the form and appropriate method by which to attain these objectives. It is in accordance with the principle of subsidiarity.</w:t>
      </w:r>
    </w:p>
    <w:p w:rsidR="b6980169">
      <w:pPr>
        <w:tabs>
          <w:tab w:pos="567" w:val="left"/>
          <w:tab w:pos="567" w:val="left"/>
        </w:tabs>
        <w:spacing w:line="240" w:lineRule="auto" w:before="120" w:after="120"/>
        <w:ind w:left="567" w:right="0" w:hanging="567"/>
        <w:jc w:val="both"/>
      </w:pPr>
      <w:r>
        <w:rPr>
          <w:rFonts w:ascii="Times New Roman" w:hAnsi="Times New Roman"/>
          <w:b w:val="0"/>
          <w:i w:val="0"/>
          <w:color w:val="000000"/>
          <w:sz w:val="24"/>
        </w:rPr>
        <w:t>(21)</w:t>
      </w:r>
      <w:r>
        <w:rPr>
          <w:rFonts w:ascii="Times New Roman" w:hAnsi="Times New Roman"/>
          <w:b w:val="0"/>
          <w:i w:val="0"/>
          <w:color w:val="000000"/>
          <w:sz w:val="24"/>
        </w:rPr>
        <w:tab/>
      </w:r>
      <w:r>
        <w:rPr>
          <w:rFonts w:ascii="Times New Roman" w:hAnsi="Times New Roman"/>
          <w:b w:val="0"/>
          <w:i w:val="0"/>
          <w:color w:val="000000"/>
          <w:sz w:val="24"/>
        </w:rPr>
        <w:t>This Directive should be without prejudice to the obligations of the Member States relating to the time-limits for transposition into national law and application of the Directives as set out in Part B of Annex I,</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center"/>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misleading advertising and the unfair consequences thereof and to lay down the conditions under which comparative advertising is permitted.</w:t>
      </w:r>
    </w:p>
    <w:p w:rsidR="a31e1a13">
      <w:pPr>
        <w:spacing w:line="240" w:lineRule="auto" w:before="120" w:after="120"/>
        <w:ind w:left="0" w:right="0" w:firstLine="0"/>
        <w:jc w:val="center"/>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revision of a code of conduct and/or for monitoring compliance with the code by those who have undertaken to be bound by it.</w:t>
      </w:r>
    </w:p>
    <w:p w:rsidR="30be42bc">
      <w:pPr>
        <w:spacing w:line="240" w:lineRule="auto" w:before="120" w:after="120"/>
        <w:ind w:left="0" w:right="0" w:firstLine="0"/>
        <w:jc w:val="center"/>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availability, nature, execution, composition, method and date of manufacture or provision, fitness for purpose, uses, quantity, specification, geographical or commercial origin or the results to be expected from their use, or the results and material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industrial, commercial or intellectual property rights or his awards and distinctions.</w:t>
      </w:r>
    </w:p>
    <w:p w:rsidR="f900635a">
      <w:pPr>
        <w:spacing w:line="240" w:lineRule="auto" w:before="120" w:after="120"/>
        <w:ind w:left="0" w:right="0" w:firstLine="0"/>
        <w:jc w:val="center"/>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verifiable and representative features of those goods and services,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competitor or of the designation of origin of competing products;</w:t>
      </w:r>
    </w:p>
    <w:p w:rsidR="e3c5fbfb">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center"/>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62dca3b6">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advertising has not yet been published but publication is imminent,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administrative authorities powers enabling them, with a view to eliminating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exercise of its powers by the administrative authority or improper or unreasonable failure to exercise the said powers can be the subject of judicial review.</w:t>
      </w:r>
    </w:p>
    <w:p w:rsidR="fcea0f35">
      <w:pPr>
        <w:spacing w:line="240" w:lineRule="auto" w:before="120" w:after="120"/>
        <w:ind w:left="0" w:right="0" w:firstLine="0"/>
        <w:jc w:val="center"/>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proceedings referred to in that Article.</w:t>
      </w:r>
    </w:p>
    <w:p w:rsidR="d0fddd93">
      <w:pPr>
        <w:spacing w:line="240" w:lineRule="auto" w:before="120" w:after="120"/>
        <w:ind w:left="0" w:right="0" w:firstLine="0"/>
        <w:jc w:val="center"/>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center"/>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prejudice to Community provisions on advertising for specific products and/or services or to restrictions or prohibitions on advertising in particular media.</w:t>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advertising bans regarding certain goods or services, whether imposed directly or by a body or organisation responsible, under the law of the Member States, for regulating the exercise of a commercial, industrial, craft or professional activity, to permit comparative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center"/>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center"/>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center"/>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center"/>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sidR="3e1c01d2">
      <w:pPr>
        <w:pageBreakBefore/>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sidR="9ce6462a">
      <w:pPr>
        <w:pageBreakBefore/>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Opinion of 26 October 2006 (not yet published in the Official Journal).</w:t>
      </w:r>
    </w:p>
  </w:footnote>
  <w:footnote w:id="2">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Opinion of the European Parliament of 12 October 2006 (not yet published in the Official Journal) and Council Decision of 30 November 2006.</w:t>
      </w:r>
    </w:p>
  </w:footnote>
  <w:footnote w:id="3">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3</w:t>
        <w:tab/>
      </w:r>
      <w:r>
        <w:rPr>
          <w:rFonts w:ascii="Times New Roman" w:hAnsi="Times New Roman" w:eastAsia="Times New Roman" w:cs="Times New Roman"/>
          <w:sz w:val="20"/>
          <w:color w:val="000000"/>
        </w:rPr>
        <w:t>OJ L 250, 19.9.1984, p. 17. Directive as last amended by Directive 2005/29/EC of the European Parliament and of the Council (OJ L 149, 11.6.2005, p. 22).</w:t>
      </w:r>
    </w:p>
  </w:footnote>
  <w:footnote w:id="4">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4</w:t>
        <w:tab/>
      </w:r>
      <w:r>
        <w:rPr>
          <w:rFonts w:ascii="Times New Roman" w:hAnsi="Times New Roman" w:eastAsia="Times New Roman" w:cs="Times New Roman"/>
          <w:sz w:val="20"/>
          <w:color w:val="000000"/>
        </w:rPr>
        <w:t>See Annex I, Part A.</w:t>
      </w:r>
    </w:p>
  </w:footnote>
  <w:footnote w:id="5">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93, 31.3.2006, p. 12.</w:t>
      </w:r>
    </w:p>
  </w:footnote>
  <w:footnote w:id="6">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OJ L 40, 11.2.1989, p. 1. Directive as amended by Decision 92/10/EEC (OJ L 6, 11.1.1992, p. 35).</w:t>
      </w:r>
    </w:p>
  </w:footnote>
  <w:footnote w:id="7">
    <w:p>
      <w:pPr>
        <w:jc w:val="both"/>
        <w:spacing w:before="0" w:after="0" w:line="240" w:lineRule="auto"/>
        <w:ind w:left="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