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w:t>
      </w:r>
      <w:r>
        <w:rPr>
          <w:rStyle w:val="FootnoteReference"/>
        </w:rPr>
        <w:footnoteReference w:id="1" w:customMarkFollows="1"/>
        <w:t>(1)</w:t>
      </w:r>
      <w:r>
        <w:t>,</w:t>
      </w:r>
    </w:p>
    <w:p w:rsidR="c8d1187b">
      <w:r>
        <w:t>Acting in accordance with the procedure laid down in Article 251 of the Treaty </w:t>
      </w:r>
      <w:r>
        <w:rPr>
          <w:rStyle w:val="FootnoteReference"/>
        </w:rPr>
        <w:footnoteReference w:id="2" w:customMarkFollows="1"/>
        <w:t>(2)</w:t>
      </w:r>
      <w:r>
        <w:t>,</w:t>
      </w:r>
    </w:p>
    <w:p w:rsidR="e1141960">
      <w:pPr>
        <w:pStyle w:val="Heading2"/>
      </w:pPr>
      <w:r>
        <w:t>Whereas:</w:t>
      </w:r>
    </w:p>
    <w:p w:rsidR="5f8fc914">
      <w:r>
        <w:t>Council Directive 84/450/EEC of 10 September 1984 con- cerning misleading and comparative advertising </w:t>
      </w:r>
      <w:r>
        <w:rPr>
          <w:rStyle w:val="FootnoteReference"/>
        </w:rPr>
        <w:footnoteReference w:id="3" w:customMarkFollows="1"/>
        <w:t>(3)</w:t>
      </w:r>
      <w:r>
        <w:t> has been substantially amended several times </w:t>
      </w:r>
      <w:r>
        <w:rPr>
          <w:rStyle w:val="FootnoteReference"/>
        </w:rPr>
        <w:footnoteReference w:id="4" w:customMarkFollows="1"/>
        <w:t>(4)</w:t>
      </w:r>
      <w:r>
        <w:t>.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w:t>
      </w:r>
      <w:r>
        <w:rPr>
          <w:rStyle w:val="FootnoteReference"/>
        </w:rPr>
        <w:footnoteReference w:id="5" w:customMarkFollows="1"/>
        <w:t>(1)</w:t>
      </w:r>
      <w:r>
        <w:t>,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w:t>
      </w:r>
      <w:r>
        <w:rPr>
          <w:rStyle w:val="FootnoteReference"/>
        </w:rPr>
        <w:footnoteReference w:id="6" w:customMarkFollows="1"/>
        <w:t>(2)</w:t>
      </w:r>
      <w: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w:t>
      </w:r>
      <w:r>
        <w:rPr>
          <w:rStyle w:val="FootnoteReference"/>
        </w:rPr>
        <w:footnoteReference w:id="7" w:customMarkFollows="1"/>
        <w:t>(1)</w:t>
      </w:r>
      <w:r>
        <w:t>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r>
              <w:br/>
              <w:t>(OJ L 250, 19.9.1984, p. 17)</w:t>
            </w:r>
          </w:p>
        </w:tc>
        <w:tc>
          <w:tcPr>
            <w:tcW w:type="dxa" w:w="4320"/>
          </w:tcPr>
          <w:p>
            <w:r/>
          </w:p>
        </w:tc>
      </w:tr>
      <w:tr>
        <w:tc>
          <w:tcPr>
            <w:tcW w:type="dxa" w:w="4320"/>
          </w:tcPr>
          <w:p>
            <w:r>
              <w:t>Directive 97/55/EC of the European Parliament and of the Council</w:t>
            </w:r>
            <w:r>
              <w:br/>
              <w:t>(OJ L 290, 23.10.1997, p. 18)</w:t>
            </w:r>
          </w:p>
        </w:tc>
        <w:tc>
          <w:tcPr>
            <w:tcW w:type="dxa" w:w="4320"/>
          </w:tcPr>
          <w:p>
            <w:r/>
          </w:p>
        </w:tc>
      </w:tr>
      <w:tr>
        <w:tc>
          <w:tcPr>
            <w:tcW w:type="dxa" w:w="4320"/>
          </w:tcPr>
          <w:p>
            <w:r>
              <w:t>Directive 2005/29/EC of the European Parliament and of the Council</w:t>
            </w:r>
            <w:r>
              <w:b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r>
        <w:rPr>
          <w:rStyle w:val="FootnoteReference"/>
        </w:rPr>
        <w:t>(1)</w:t>
      </w:r>
      <w:r>
        <w:t> Opinion of 26 October 2006 (not yet published in the Official Jour- nal).</w:t>
      </w:r>
    </w:p>
  </w:footnote>
  <w:footnote w:id="2">
    <w:p>
      <w:r>
        <w:rPr>
          <w:rStyle w:val="FootnoteReference"/>
        </w:rPr>
        <w:t>(2)</w:t>
      </w:r>
      <w:r>
        <w:t> Opinion of the European Parliament of 12 October 2006 (not yet published in the Official Journal) and Council Decision of 30 Novem- ber 2006.</w:t>
      </w:r>
    </w:p>
  </w:footnote>
  <w:footnote w:id="3">
    <w:p>
      <w:r>
        <w:rPr>
          <w:rStyle w:val="FootnoteReference"/>
        </w:rPr>
        <w:t>(3)</w:t>
      </w:r>
      <w:r>
        <w:t> OJ L 250, 19.9.1984, p. 17. Directive as last amended by Directive 2005/29/EC of the European Parliament and of the Council (OJ L 149, 11.6.2005, p. 22).</w:t>
      </w:r>
    </w:p>
  </w:footnote>
  <w:footnote w:id="4">
    <w:p>
      <w:r>
        <w:rPr>
          <w:rStyle w:val="FootnoteReference"/>
        </w:rPr>
        <w:t>(4)</w:t>
      </w:r>
      <w:r>
        <w:t> See Annex I, Part A.</w:t>
      </w:r>
    </w:p>
  </w:footnote>
  <w:footnote w:id="5">
    <w:p>
      <w:r>
        <w:rPr>
          <w:rStyle w:val="FootnoteReference"/>
        </w:rPr>
        <w:t>(1)</w:t>
      </w:r>
      <w:r>
        <w:t> OJ L 93, 31.3.2006, p. 12.</w:t>
      </w:r>
    </w:p>
  </w:footnote>
  <w:footnote w:id="6">
    <w:p>
      <w:r>
        <w:rPr>
          <w:rStyle w:val="FootnoteReference"/>
        </w:rPr>
        <w:t>(2)</w:t>
      </w:r>
      <w:r>
        <w:t> OJ L 40, 11.2.1989, p. 1. Directive as amended by Decision 92/10/EEC (OJ L 6, 11.1.1992, p. 35).</w:t>
      </w:r>
    </w:p>
  </w:footnote>
  <w:footnote w:id="7">
    <w:p>
      <w:r>
        <w:rPr>
          <w:rStyle w:val="FootnoteReference"/>
        </w:rPr>
        <w:t>(1)</w:t>
      </w:r>
      <w: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