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dec272fc">
      <w:pPr>
        <w:spacing w:line="240" w:lineRule="auto" w:before="120" w:after="120"/>
        <w:ind w:left="0" w:right="0" w:firstLine="0"/>
        <w:jc w:val="center"/>
        <w:outlineLvl w:val="0"/>
      </w:pPr>
      <w:r>
        <w:rPr>
          <w:rFonts w:ascii="Times New Roman" w:hAnsi="Times New Roman"/>
          <w:b/>
          <w:i w:val="0"/>
          <w:color w:val="000000"/>
          <w:sz w:val="24"/>
        </w:rPr>
        <w:t>COUNCIL DECISION (CFSP) 2025/2586</w:t>
      </w:r>
    </w:p>
    <w:p w:rsidR="bbc60156">
      <w:pPr>
        <w:spacing w:line="240" w:lineRule="auto" w:before="120" w:after="120"/>
        <w:ind w:left="0" w:right="0" w:firstLine="0"/>
        <w:jc w:val="center"/>
        <w:outlineLvl w:val="0"/>
      </w:pPr>
      <w:r>
        <w:rPr>
          <w:rFonts w:ascii="Times New Roman" w:hAnsi="Times New Roman"/>
          <w:b/>
          <w:i w:val="0"/>
          <w:color w:val="000000"/>
          <w:sz w:val="24"/>
        </w:rPr>
        <w:t>of 15 December 2025</w:t>
      </w:r>
    </w:p>
    <w:p w:rsidR="4fa9e9a8">
      <w:pPr>
        <w:spacing w:line="240" w:lineRule="auto" w:before="120" w:after="120"/>
        <w:ind w:left="0" w:right="0" w:firstLine="0"/>
        <w:jc w:val="center"/>
        <w:outlineLvl w:val="0"/>
      </w:pPr>
      <w:r>
        <w:rPr>
          <w:rFonts w:ascii="Times New Roman" w:hAnsi="Times New Roman"/>
          <w:b/>
          <w:i w:val="0"/>
          <w:color w:val="000000"/>
          <w:sz w:val="24"/>
        </w:rPr>
        <w:t>amending Decision (CFSP) 2017/2074 concerning restrictive measures in view of the situation in</w:t>
      </w:r>
    </w:p>
    <w:p w:rsidR="92f4aa2f">
      <w:pPr>
        <w:spacing w:line="240" w:lineRule="auto" w:before="120" w:after="120"/>
        <w:ind w:left="0" w:right="0" w:firstLine="0"/>
        <w:jc w:val="center"/>
        <w:outlineLvl w:val="0"/>
      </w:pPr>
      <w:r>
        <w:rPr>
          <w:rFonts w:ascii="Times New Roman" w:hAnsi="Times New Roman"/>
          <w:b/>
          <w:i w:val="0"/>
          <w:color w:val="000000"/>
          <w:sz w:val="24"/>
        </w:rPr>
        <w:t>Venezuela</w:t>
      </w:r>
    </w:p>
    <w:p w:rsidR="cbac7d53">
      <w:pPr>
        <w:spacing w:line="240" w:lineRule="auto" w:before="120" w:after="120"/>
        <w:ind w:left="0" w:right="0" w:firstLine="0"/>
        <w:jc w:val="both"/>
      </w:pPr>
      <w:r>
        <w:rPr>
          <w:rFonts w:ascii="Times New Roman" w:hAnsi="Times New Roman"/>
          <w:b w:val="0"/>
          <w:i w:val="0"/>
          <w:color w:val="000000"/>
          <w:sz w:val="24"/>
        </w:rPr>
        <w:t>THE COUNCIL OF THE EUROPEAN UNION,</w:t>
      </w:r>
    </w:p>
    <w:p w:rsidR="62e05beb">
      <w:pPr>
        <w:spacing w:line="240" w:lineRule="auto" w:before="120" w:after="120"/>
        <w:ind w:left="0" w:right="0" w:firstLine="0"/>
        <w:jc w:val="both"/>
      </w:pPr>
      <w:r>
        <w:rPr>
          <w:rFonts w:ascii="Times New Roman" w:hAnsi="Times New Roman"/>
          <w:b w:val="0"/>
          <w:i w:val="0"/>
          <w:color w:val="000000"/>
          <w:sz w:val="24"/>
        </w:rPr>
        <w:t>Having regard to the Treaty on European Union, and in particular Article 29 thereof,</w:t>
      </w:r>
    </w:p>
    <w:p w:rsidR="69cb7e15">
      <w:pPr>
        <w:spacing w:line="240" w:lineRule="auto" w:before="120" w:after="120"/>
        <w:ind w:left="0" w:right="0" w:firstLine="0"/>
        <w:jc w:val="both"/>
      </w:pPr>
      <w:r>
        <w:rPr>
          <w:rFonts w:ascii="Times New Roman" w:hAnsi="Times New Roman"/>
          <w:b w:val="0"/>
          <w:i w:val="0"/>
          <w:color w:val="000000"/>
          <w:sz w:val="24"/>
        </w:rPr>
        <w:t>Having regard to the proposal from the High Representative of the Union for Foreign Affairs and Security Policy,</w:t>
      </w:r>
    </w:p>
    <w:p w:rsidR="c995b434">
      <w:pPr>
        <w:spacing w:line="240" w:lineRule="auto" w:before="120" w:after="120"/>
        <w:ind w:left="0" w:right="0" w:firstLine="0"/>
        <w:jc w:val="left"/>
        <w:outlineLvl w:val="0"/>
      </w:pPr>
      <w:r>
        <w:rPr>
          <w:rFonts w:ascii="Times New Roman" w:hAnsi="Times New Roman"/>
          <w:b w:val="0"/>
          <w:i w:val="0"/>
          <w:color w:val="000000"/>
          <w:sz w:val="24"/>
        </w:rPr>
        <w:t>Whereas:</w:t>
      </w:r>
    </w:p>
    <w:p w:rsidR="f119874b">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w:t>
      </w:r>
      <w:r>
        <w:rPr>
          <w:rFonts w:ascii="Times New Roman" w:hAnsi="Times New Roman"/>
          <w:b w:val="0"/>
          <w:i w:val="0"/>
          <w:color w:val="000000"/>
          <w:sz w:val="24"/>
        </w:rPr>
        <w:tab/>
      </w:r>
      <w:r>
        <w:rPr>
          <w:rFonts w:ascii="Times New Roman" w:hAnsi="Times New Roman"/>
          <w:b w:val="0"/>
          <w:i w:val="0"/>
          <w:color w:val="000000"/>
          <w:sz w:val="24"/>
        </w:rPr>
        <w:t>On 13 November 2017, the Council adopted Decision (CFSP) 2017/2074 </w:t>
      </w:r>
      <w:r>
        <w:rPr>
          <w:rStyle w:val="FootnoteReference"/>
          <w:rFonts w:ascii="Times New Roman" w:hAnsi="Times New Roman" w:eastAsia="Times New Roman" w:cs="Times New Roman"/>
          <w:sz w:val="22"/>
          <w:color w:val="000000"/>
          <w:vertAlign w:val="superscript"/>
        </w:rPr>
        <w:footnoteReference w:id="1" w:customMarkFollows="1"/>
        <w:t>(1)</w:t>
      </w:r>
      <w:r>
        <w:rPr>
          <w:rFonts w:ascii="Times New Roman" w:hAnsi="Times New Roman"/>
          <w:b w:val="0"/>
          <w:i w:val="0"/>
          <w:color w:val="000000"/>
          <w:sz w:val="24"/>
        </w:rPr>
        <w:t>.</w:t>
      </w:r>
    </w:p>
    <w:p w:rsidR="b3071cc8">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w:t>
      </w:r>
      <w:r>
        <w:rPr>
          <w:rFonts w:ascii="Times New Roman" w:hAnsi="Times New Roman"/>
          <w:b w:val="0"/>
          <w:i w:val="0"/>
          <w:color w:val="000000"/>
          <w:sz w:val="24"/>
        </w:rPr>
        <w:tab/>
      </w:r>
      <w:r>
        <w:rPr>
          <w:rFonts w:ascii="Times New Roman" w:hAnsi="Times New Roman"/>
          <w:b w:val="0"/>
          <w:i w:val="0"/>
          <w:color w:val="000000"/>
          <w:sz w:val="24"/>
        </w:rPr>
        <w:t>Considering the deepening political crisis in Venezuela, as well as the persistent actions undermining democracy and the rule of law, continued human rights violations and the repression of civil society and democratic opposition, including in relation to the conduct of and developments following the presidential elections of 28 July 2024, in that country, and on the basis of a review of Decision (CFSP) 2017/2074, the restrictive measures set out in that Decision should be renewed until 10 January 2027.</w:t>
      </w:r>
    </w:p>
    <w:p w:rsidR="b8aca944">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(3)</w:t>
      </w:r>
      <w:r>
        <w:rPr>
          <w:rFonts w:ascii="Times New Roman" w:hAnsi="Times New Roman"/>
          <w:b w:val="0"/>
          <w:i w:val="0"/>
          <w:color w:val="000000"/>
          <w:sz w:val="24"/>
        </w:rPr>
        <w:tab/>
      </w:r>
      <w:r>
        <w:rPr>
          <w:rFonts w:ascii="Times New Roman" w:hAnsi="Times New Roman"/>
          <w:b w:val="0"/>
          <w:i w:val="0"/>
          <w:color w:val="000000"/>
          <w:sz w:val="24"/>
        </w:rPr>
        <w:t>Moreover, the entries for four natural persons set out in Annex I to Decision (CFSP) 2017/2074 should be updated.</w:t>
      </w:r>
    </w:p>
    <w:p w:rsidR="7c2d5b49">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(4)</w:t>
      </w:r>
      <w:r>
        <w:rPr>
          <w:rFonts w:ascii="Times New Roman" w:hAnsi="Times New Roman"/>
          <w:b w:val="0"/>
          <w:i w:val="0"/>
          <w:color w:val="000000"/>
          <w:sz w:val="24"/>
        </w:rPr>
        <w:tab/>
      </w:r>
      <w:r>
        <w:rPr>
          <w:rFonts w:ascii="Times New Roman" w:hAnsi="Times New Roman"/>
          <w:b w:val="0"/>
          <w:i w:val="0"/>
          <w:color w:val="000000"/>
          <w:sz w:val="24"/>
        </w:rPr>
        <w:t>Decision (CFSP) 2017/2074 should therefore be amended accordingly,</w:t>
      </w:r>
    </w:p>
    <w:p w:rsidR="599be159">
      <w:pPr>
        <w:spacing w:line="240" w:lineRule="auto" w:before="120" w:after="120"/>
        <w:ind w:left="0" w:right="0" w:firstLine="0"/>
        <w:jc w:val="both"/>
      </w:pPr>
      <w:r>
        <w:rPr>
          <w:rFonts w:ascii="Times New Roman" w:hAnsi="Times New Roman"/>
          <w:b w:val="0"/>
          <w:i w:val="0"/>
          <w:color w:val="000000"/>
          <w:sz w:val="24"/>
        </w:rPr>
        <w:t>HAS ADOPTED THIS DECISION:</w:t>
      </w:r>
    </w:p>
    <w:p w:rsidR="3f3c111f">
      <w:pPr>
        <w:spacing w:line="240" w:lineRule="auto" w:before="120" w:after="120"/>
        <w:ind w:left="0" w:right="0" w:firstLine="0"/>
        <w:jc w:val="center"/>
        <w:outlineLvl w:val="0"/>
      </w:pPr>
      <w:r>
        <w:rPr>
          <w:rFonts w:ascii="Times New Roman" w:hAnsi="Times New Roman"/>
          <w:b w:val="0"/>
          <w:i/>
          <w:color w:val="000000"/>
          <w:sz w:val="24"/>
        </w:rPr>
        <w:t>Article 1</w:t>
      </w:r>
    </w:p>
    <w:p w:rsidR="4cd67d9b">
      <w:pPr>
        <w:spacing w:line="240" w:lineRule="auto" w:before="120" w:after="120"/>
        <w:ind w:left="0" w:right="0" w:firstLine="0"/>
        <w:jc w:val="both"/>
      </w:pPr>
      <w:r>
        <w:rPr>
          <w:rFonts w:ascii="Times New Roman" w:hAnsi="Times New Roman"/>
          <w:b w:val="0"/>
          <w:i w:val="0"/>
          <w:color w:val="000000"/>
          <w:sz w:val="24"/>
        </w:rPr>
        <w:t>Decision (CFSP) 2017/2074 is amended as follows:</w:t>
      </w:r>
    </w:p>
    <w:p w:rsidR="04da4510">
      <w:pPr>
        <w:spacing w:line="240" w:lineRule="auto" w:before="120" w:after="120"/>
        <w:ind w:left="0" w:right="0" w:firstLine="0"/>
        <w:jc w:val="both"/>
      </w:pPr>
      <w:r>
        <w:rPr>
          <w:rFonts w:ascii="Times New Roman" w:hAnsi="Times New Roman"/>
          <w:b w:val="0"/>
          <w:i w:val="0"/>
          <w:color w:val="000000"/>
          <w:sz w:val="24"/>
        </w:rPr>
        <w:t>(1) in Article 13, in the first paragraph, the date ‘10 January 2026’ is replaced by that of ‘10 January 2027’;</w:t>
      </w:r>
    </w:p>
    <w:p w:rsidR="bfd76eaa">
      <w:pPr>
        <w:spacing w:line="240" w:lineRule="auto" w:before="120" w:after="120"/>
        <w:ind w:left="0" w:right="0" w:firstLine="0"/>
        <w:jc w:val="both"/>
      </w:pPr>
      <w:r>
        <w:rPr>
          <w:rFonts w:ascii="Times New Roman" w:hAnsi="Times New Roman"/>
          <w:b w:val="0"/>
          <w:i w:val="0"/>
          <w:color w:val="000000"/>
          <w:sz w:val="24"/>
        </w:rPr>
        <w:t>(2) Annex I is amended in accordance with the Annex to this Decision.</w:t>
      </w:r>
    </w:p>
    <w:p w:rsidR="8527bf8a">
      <w:pPr>
        <w:spacing w:line="240" w:lineRule="auto" w:before="120" w:after="120"/>
        <w:ind w:left="0" w:right="0" w:firstLine="0"/>
        <w:jc w:val="center"/>
        <w:outlineLvl w:val="0"/>
      </w:pPr>
      <w:r>
        <w:rPr>
          <w:rFonts w:ascii="Times New Roman" w:hAnsi="Times New Roman"/>
          <w:b w:val="0"/>
          <w:i/>
          <w:color w:val="000000"/>
          <w:sz w:val="24"/>
        </w:rPr>
        <w:t>Article 2</w:t>
      </w:r>
    </w:p>
    <w:p w:rsidR="435dc77f">
      <w:pPr>
        <w:spacing w:line="240" w:lineRule="auto" w:before="120" w:after="120"/>
        <w:ind w:left="0" w:right="0" w:firstLine="0"/>
        <w:jc w:val="both"/>
      </w:pPr>
      <w:r>
        <w:rPr>
          <w:rFonts w:ascii="Times New Roman" w:hAnsi="Times New Roman"/>
          <w:b w:val="0"/>
          <w:i/>
          <w:color w:val="000000"/>
          <w:sz w:val="24"/>
        </w:rPr>
        <w:t>This Decision shall enter into force on the day following that of its publication in the Official Journal of the European Union.</w:t>
      </w:r>
    </w:p>
    <w:p w:rsidR="84a1e899">
      <w:pPr>
        <w:spacing w:line="240" w:lineRule="auto" w:before="120" w:after="120"/>
        <w:ind w:left="0" w:right="0" w:firstLine="0"/>
        <w:jc w:val="both"/>
      </w:pPr>
      <w:r>
        <w:rPr>
          <w:rFonts w:ascii="Times New Roman" w:hAnsi="Times New Roman"/>
          <w:b w:val="0"/>
          <w:i w:val="0"/>
          <w:color w:val="000000"/>
          <w:sz w:val="24"/>
        </w:rPr>
        <w:t>Done at Brussels, 15 December 2025.</w:t>
      </w:r>
    </w:p>
    <w:p w:rsidR="e3fdaff1">
      <w:pPr>
        <w:spacing w:line="240" w:lineRule="auto" w:before="120" w:after="120"/>
        <w:ind w:left="0" w:right="0" w:firstLine="0"/>
        <w:jc w:val="both"/>
      </w:pPr>
      <w:r>
        <w:rPr>
          <w:rFonts w:ascii="Times New Roman" w:hAnsi="Times New Roman"/>
          <w:b w:val="0"/>
          <w:i/>
          <w:color w:val="000000"/>
          <w:sz w:val="24"/>
        </w:rPr>
        <w:t>For the Council</w:t>
      </w:r>
    </w:p>
    <w:p w:rsidR="56a01eaf">
      <w:pPr>
        <w:spacing w:line="240" w:lineRule="auto" w:before="120" w:after="120"/>
        <w:ind w:left="0" w:right="0" w:firstLine="0"/>
        <w:jc w:val="both"/>
      </w:pPr>
      <w:r>
        <w:rPr>
          <w:rFonts w:ascii="Times New Roman" w:hAnsi="Times New Roman"/>
          <w:b w:val="0"/>
          <w:i/>
          <w:color w:val="000000"/>
          <w:sz w:val="24"/>
        </w:rPr>
        <w:t>The President</w:t>
      </w:r>
    </w:p>
    <w:p w:rsidR="520c6baf">
      <w:pPr>
        <w:spacing w:line="240" w:lineRule="auto" w:before="120" w:after="120"/>
        <w:ind w:left="0" w:right="0" w:firstLine="0"/>
        <w:jc w:val="both"/>
      </w:pPr>
      <w:r>
        <w:rPr>
          <w:rFonts w:ascii="Times New Roman" w:hAnsi="Times New Roman"/>
          <w:b w:val="0"/>
          <w:i w:val="0"/>
          <w:color w:val="000000"/>
          <w:sz w:val="24"/>
        </w:rPr>
        <w:t>K. KALLAS</w:t>
      </w:r>
    </w:p>
    <w:p>
      <w:pPr>
        <w:sectPr>
          <w:pgSz w:w="12240" w:h="15840"/>
          <w:pgMar w:top="1440" w:right="1797" w:bottom="1440" w:left="1797" w:header="720" w:footer="720" w:gutter="0"/>
          <w:cols w:space="720"/>
          <w:docGrid w:linePitch="360"/>
        </w:sectPr>
      </w:pPr>
    </w:p>
    <w:p w:rsidR="5588b519">
      <w:pPr>
        <w:pageBreakBefore/>
        <w:spacing w:line="240" w:lineRule="auto" w:before="120" w:after="120"/>
        <w:ind w:left="0" w:right="0" w:firstLine="0"/>
        <w:jc w:val="center"/>
        <w:outlineLvl w:val="0"/>
      </w:pPr>
      <w:r>
        <w:rPr>
          <w:rFonts w:ascii="Times New Roman" w:hAnsi="Times New Roman"/>
          <w:b w:val="0"/>
          <w:i/>
          <w:color w:val="000000"/>
          <w:sz w:val="24"/>
        </w:rPr>
        <w:t>ANNEX</w:t>
      </w:r>
    </w:p>
    <w:p w:rsidR="00bb19ea">
      <w:pPr>
        <w:spacing w:line="240" w:lineRule="auto" w:before="120" w:after="120"/>
        <w:ind w:left="0" w:right="0" w:firstLine="0"/>
        <w:jc w:val="both"/>
      </w:pPr>
      <w:r>
        <w:rPr>
          <w:rFonts w:ascii="Times New Roman" w:hAnsi="Times New Roman"/>
          <w:b w:val="0"/>
          <w:i w:val="0"/>
          <w:color w:val="000000"/>
          <w:sz w:val="24"/>
        </w:rPr>
        <w:t>In Annex I to Decision (CFSP) 2017/2074, in the list of natural and legal persons, entities and bodies, entries 2, 11, 31 and 37 are replaced by the following:</w:t>
      </w:r>
    </w:p>
    <w:tbl>
      <w:tblPr>
        <w:tblStyle w:val="TableGrid"/>
        <w:tblW w:type="dxa" w:w="14480"/>
        <w:tblLayout w:type="fixed"/>
        <w:tblLook w:firstColumn="1" w:firstRow="1" w:lastColumn="0" w:lastRow="0" w:noHBand="0" w:noVBand="1" w:val="04A0"/>
      </w:tblPr>
      <w:tblGrid>
        <w:gridCol w:w="741"/>
        <w:gridCol w:w="2488"/>
        <w:gridCol w:w="3594"/>
        <w:gridCol w:w="6358"/>
        <w:gridCol w:w="1299"/>
      </w:tblGrid>
      <w:tr>
        <w:trPr>
          <w:cantSplit/>
          <w:tblHeader/>
        </w:trPr>
        <w:tc>
          <w:tcPr>
            <w:tcW w:type="dxa" w:w="741"/>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2488"/>
            <w:vAlign w:val="top"/>
          </w:tcPr>
          <w:p>
            <w:pPr>
              <w:spacing w:line="240" w:lineRule="auto" w:before="120" w:after="120"/>
              <w:ind w:left="0" w:right="0" w:firstLine="0"/>
              <w:jc w:val="left"/>
            </w:pPr>
            <w:r>
              <w:rPr>
                <w:rFonts w:ascii="Times New Roman" w:hAnsi="Times New Roman"/>
                <w:b w:val="0"/>
                <w:i w:val="0"/>
                <w:color w:val="000000"/>
                <w:sz w:val="24"/>
              </w:rPr>
              <w:t>Name</w:t>
            </w:r>
          </w:p>
        </w:tc>
        <w:tc>
          <w:tcPr>
            <w:tcW w:type="dxa" w:w="3594"/>
            <w:vAlign w:val="top"/>
          </w:tcPr>
          <w:p>
            <w:pPr>
              <w:spacing w:line="240" w:lineRule="auto" w:before="120" w:after="120"/>
              <w:ind w:left="0" w:right="0" w:firstLine="0"/>
              <w:jc w:val="left"/>
            </w:pPr>
            <w:r>
              <w:rPr>
                <w:rFonts w:ascii="Times New Roman" w:hAnsi="Times New Roman"/>
                <w:b w:val="0"/>
                <w:i w:val="0"/>
                <w:color w:val="000000"/>
                <w:sz w:val="24"/>
              </w:rPr>
              <w:t>Identifying information</w:t>
            </w:r>
          </w:p>
        </w:tc>
        <w:tc>
          <w:tcPr>
            <w:tcW w:type="dxa" w:w="6358"/>
            <w:vAlign w:val="top"/>
          </w:tcPr>
          <w:p>
            <w:pPr>
              <w:spacing w:line="240" w:lineRule="auto" w:before="120" w:after="120"/>
              <w:ind w:left="0" w:right="0" w:firstLine="0"/>
              <w:jc w:val="left"/>
            </w:pPr>
            <w:r>
              <w:rPr>
                <w:rFonts w:ascii="Times New Roman" w:hAnsi="Times New Roman"/>
                <w:b w:val="0"/>
                <w:i w:val="0"/>
                <w:color w:val="000000"/>
                <w:sz w:val="24"/>
              </w:rPr>
              <w:t>Reasons</w:t>
            </w:r>
          </w:p>
        </w:tc>
        <w:tc>
          <w:tcPr>
            <w:tcW w:type="dxa" w:w="1299"/>
            <w:vAlign w:val="top"/>
          </w:tcPr>
          <w:p>
            <w:pPr>
              <w:spacing w:line="240" w:lineRule="auto" w:before="120" w:after="120"/>
              <w:ind w:left="0" w:right="0" w:firstLine="0"/>
              <w:jc w:val="left"/>
            </w:pPr>
            <w:r>
              <w:rPr>
                <w:rFonts w:ascii="Times New Roman" w:hAnsi="Times New Roman"/>
                <w:b w:val="0"/>
                <w:i w:val="0"/>
                <w:color w:val="000000"/>
                <w:sz w:val="24"/>
              </w:rPr>
              <w:t>Date of listing</w:t>
            </w:r>
          </w:p>
        </w:tc>
      </w:tr>
      <w:tr>
        <w:trPr>
          <w:cantSplit/>
        </w:trPr>
        <w:tc>
          <w:tcPr>
            <w:tcW w:type="dxa" w:w="741"/>
            <w:vAlign w:val="top"/>
          </w:tcPr>
          <w:p>
            <w:pPr>
              <w:spacing w:line="240" w:lineRule="auto" w:before="120" w:after="120"/>
              <w:ind w:left="0" w:right="0" w:firstLine="0"/>
              <w:jc w:val="left"/>
            </w:pPr>
            <w:r>
              <w:rPr>
                <w:rFonts w:ascii="Times New Roman" w:hAnsi="Times New Roman"/>
                <w:b w:val="0"/>
                <w:i w:val="0"/>
                <w:color w:val="000000"/>
                <w:sz w:val="24"/>
              </w:rPr>
              <w:t>‘2.</w:t>
            </w:r>
          </w:p>
        </w:tc>
        <w:tc>
          <w:tcPr>
            <w:tcW w:type="dxa" w:w="2488"/>
            <w:vAlign w:val="top"/>
          </w:tcPr>
          <w:p>
            <w:pPr>
              <w:spacing w:line="240" w:lineRule="auto" w:before="120" w:after="120"/>
              <w:ind w:left="0" w:right="0" w:firstLine="0"/>
              <w:jc w:val="left"/>
            </w:pPr>
            <w:r>
              <w:rPr>
                <w:rFonts w:ascii="Times New Roman" w:hAnsi="Times New Roman"/>
                <w:b w:val="0"/>
                <w:i w:val="0"/>
                <w:color w:val="000000"/>
                <w:sz w:val="24"/>
              </w:rPr>
              <w:t>Gustavo Enrique GONZÁLEZ LÓPEZ</w:t>
            </w:r>
          </w:p>
        </w:tc>
        <w:tc>
          <w:tcPr>
            <w:tcW w:type="dxa" w:w="3594"/>
            <w:vAlign w:val="top"/>
          </w:tcPr>
          <w:p>
            <w:pPr>
              <w:spacing w:line="240" w:lineRule="auto" w:before="120" w:after="120"/>
              <w:ind w:left="0" w:right="0" w:firstLine="0"/>
              <w:jc w:val="left"/>
            </w:pPr>
            <w:r>
              <w:rPr>
                <w:rFonts w:ascii="Times New Roman" w:hAnsi="Times New Roman"/>
                <w:b w:val="0"/>
                <w:i w:val="0"/>
                <w:color w:val="000000"/>
                <w:sz w:val="24"/>
              </w:rPr>
              <w:t>DOB: 2.11.1960</w:t>
            </w:r>
            <w:r>
              <w:rPr>
                <w:rFonts w:ascii="Times New Roman" w:hAnsi="Times New Roman"/>
                <w:b w:val="0"/>
                <w:i w:val="0"/>
                <w:color w:val="000000"/>
                <w:sz w:val="24"/>
              </w:rPr>
              <w:br/>
              <w:t>Gender: male</w:t>
            </w:r>
          </w:p>
        </w:tc>
        <w:tc>
          <w:tcPr>
            <w:tcW w:type="dxa" w:w="6358"/>
            <w:vAlign w:val="top"/>
          </w:tcPr>
          <w:p>
            <w:pPr>
              <w:spacing w:line="240" w:lineRule="auto" w:before="120" w:after="120"/>
              <w:ind w:left="0" w:right="0" w:firstLine="0"/>
              <w:jc w:val="left"/>
            </w:pPr>
            <w:r>
              <w:rPr>
                <w:rFonts w:ascii="Times New Roman" w:hAnsi="Times New Roman"/>
                <w:b w:val="0"/>
                <w:i w:val="0"/>
                <w:color w:val="000000"/>
                <w:sz w:val="24"/>
              </w:rPr>
              <w:t>President of Petróleos de Venezuela (PDVSA). General Director of the Bolivarian National Intelligence Service (SEBIN) between April 2019 and October 2024. Security and Intelligence Adviser to President Maduro since January 2019, and General Director of SEBIN from February 2014 to October 2018. During the times he has served as SEBIN director, officials under his ultimate authority committed acts of arbitrary detention, torture and cruel and inhuman treatment, including sexual violence, in El Helicoide detention centre. As General Director of SEBIN, he is responsible for serious human rights violations, including arbitrary detention, inhuman and degrading treatment, and torture, and the repression of civil society and the democratic opposition in Venezuela.</w:t>
            </w:r>
          </w:p>
        </w:tc>
        <w:tc>
          <w:tcPr>
            <w:tcW w:type="dxa" w:w="1299"/>
            <w:vAlign w:val="top"/>
          </w:tcPr>
          <w:p>
            <w:pPr>
              <w:spacing w:line="240" w:lineRule="auto" w:before="120" w:after="120"/>
              <w:ind w:left="0" w:right="0" w:firstLine="0"/>
              <w:jc w:val="left"/>
            </w:pPr>
            <w:r>
              <w:rPr>
                <w:rFonts w:ascii="Times New Roman" w:hAnsi="Times New Roman"/>
                <w:b w:val="0"/>
                <w:i w:val="0"/>
                <w:color w:val="000000"/>
                <w:sz w:val="24"/>
              </w:rPr>
              <w:t>22.1.2018</w:t>
            </w:r>
          </w:p>
        </w:tc>
      </w:tr>
      <w:tr>
        <w:trPr>
          <w:cantSplit/>
        </w:trPr>
        <w:tc>
          <w:tcPr>
            <w:tcW w:type="dxa" w:w="741"/>
            <w:vAlign w:val="top"/>
          </w:tcPr>
          <w:p>
            <w:pPr>
              <w:spacing w:line="240" w:lineRule="auto" w:before="120" w:after="120"/>
              <w:ind w:left="0" w:right="0" w:firstLine="0"/>
              <w:jc w:val="left"/>
            </w:pPr>
            <w:r>
              <w:rPr>
                <w:rFonts w:ascii="Times New Roman" w:hAnsi="Times New Roman"/>
                <w:b w:val="0"/>
                <w:i w:val="0"/>
                <w:color w:val="000000"/>
                <w:sz w:val="24"/>
              </w:rPr>
              <w:t>11.</w:t>
            </w:r>
          </w:p>
        </w:tc>
        <w:tc>
          <w:tcPr>
            <w:tcW w:type="dxa" w:w="2488"/>
            <w:vAlign w:val="top"/>
          </w:tcPr>
          <w:p>
            <w:pPr>
              <w:spacing w:line="240" w:lineRule="auto" w:before="120" w:after="120"/>
              <w:ind w:left="0" w:right="0" w:firstLine="0"/>
              <w:jc w:val="left"/>
            </w:pPr>
            <w:r>
              <w:rPr>
                <w:rFonts w:ascii="Times New Roman" w:hAnsi="Times New Roman"/>
                <w:b w:val="0"/>
                <w:i w:val="0"/>
                <w:color w:val="000000"/>
                <w:sz w:val="24"/>
              </w:rPr>
              <w:t>Iván HERNÁNDEZ DALA</w:t>
            </w:r>
          </w:p>
        </w:tc>
        <w:tc>
          <w:tcPr>
            <w:tcW w:type="dxa" w:w="3594"/>
            <w:vAlign w:val="top"/>
          </w:tcPr>
          <w:p>
            <w:pPr>
              <w:spacing w:line="240" w:lineRule="auto" w:before="120" w:after="120"/>
              <w:ind w:left="0" w:right="0" w:firstLine="0"/>
              <w:jc w:val="left"/>
            </w:pPr>
            <w:r>
              <w:rPr>
                <w:rFonts w:ascii="Times New Roman" w:hAnsi="Times New Roman"/>
                <w:b w:val="0"/>
                <w:i w:val="0"/>
                <w:color w:val="000000"/>
                <w:sz w:val="24"/>
              </w:rPr>
              <w:t>DOB: 18.5.1966</w:t>
            </w:r>
            <w:r>
              <w:rPr>
                <w:rFonts w:ascii="Times New Roman" w:hAnsi="Times New Roman"/>
                <w:b w:val="0"/>
                <w:i w:val="0"/>
                <w:color w:val="000000"/>
                <w:sz w:val="24"/>
              </w:rPr>
              <w:br/>
              <w:t>Gender: male</w:t>
            </w:r>
          </w:p>
        </w:tc>
        <w:tc>
          <w:tcPr>
            <w:tcW w:type="dxa" w:w="6358"/>
            <w:vAlign w:val="top"/>
          </w:tcPr>
          <w:p>
            <w:pPr>
              <w:spacing w:line="240" w:lineRule="auto" w:before="120" w:after="120"/>
              <w:ind w:left="0" w:right="0" w:firstLine="0"/>
              <w:jc w:val="left"/>
            </w:pPr>
            <w:r>
              <w:rPr>
                <w:rFonts w:ascii="Times New Roman" w:hAnsi="Times New Roman"/>
                <w:b w:val="0"/>
                <w:i w:val="0"/>
                <w:color w:val="000000"/>
                <w:sz w:val="24"/>
              </w:rPr>
              <w:t>President of the National Telephone Company of Venezuela (Cantv). Major-General in FANB. Director-General of the Directorate-General for Military Counterintelligence (DGCIM) between January 2014 and October 2024 and Head of the Presidential Guard between September 2015 and October 2024. As Head of the DGCIM, Iván Hernández Dala is responsible for the repression of civil society and democratic opposition and for serious human rights violations committed by members of the DGCIM under his command, including torture, the use of excessive force and the ill-treatment of detainees.</w:t>
            </w:r>
          </w:p>
        </w:tc>
        <w:tc>
          <w:tcPr>
            <w:tcW w:type="dxa" w:w="1299"/>
            <w:vAlign w:val="top"/>
          </w:tcPr>
          <w:p>
            <w:pPr>
              <w:spacing w:line="240" w:lineRule="auto" w:before="120" w:after="120"/>
              <w:ind w:left="0" w:right="0" w:firstLine="0"/>
              <w:jc w:val="left"/>
            </w:pPr>
            <w:r>
              <w:rPr>
                <w:rFonts w:ascii="Times New Roman" w:hAnsi="Times New Roman"/>
                <w:b w:val="0"/>
                <w:i w:val="0"/>
                <w:color w:val="000000"/>
                <w:sz w:val="24"/>
              </w:rPr>
              <w:t>25.6.2018</w:t>
            </w:r>
          </w:p>
        </w:tc>
      </w:tr>
      <w:tr>
        <w:trPr>
          <w:cantSplit/>
        </w:trPr>
        <w:tc>
          <w:tcPr>
            <w:tcW w:type="dxa" w:w="741"/>
            <w:vAlign w:val="top"/>
          </w:tcPr>
          <w:p>
            <w:pPr>
              <w:spacing w:line="240" w:lineRule="auto" w:before="120" w:after="120"/>
              <w:ind w:left="0" w:right="0" w:firstLine="0"/>
              <w:jc w:val="left"/>
            </w:pPr>
            <w:r>
              <w:rPr>
                <w:rFonts w:ascii="Times New Roman" w:hAnsi="Times New Roman"/>
                <w:b w:val="0"/>
                <w:i w:val="0"/>
                <w:color w:val="000000"/>
                <w:sz w:val="24"/>
              </w:rPr>
              <w:t>31.</w:t>
            </w:r>
          </w:p>
        </w:tc>
        <w:tc>
          <w:tcPr>
            <w:tcW w:type="dxa" w:w="2488"/>
            <w:vAlign w:val="top"/>
          </w:tcPr>
          <w:p>
            <w:pPr>
              <w:spacing w:line="240" w:lineRule="auto" w:before="120" w:after="120"/>
              <w:ind w:left="0" w:right="0" w:firstLine="0"/>
              <w:jc w:val="left"/>
            </w:pPr>
            <w:r>
              <w:rPr>
                <w:rFonts w:ascii="Times New Roman" w:hAnsi="Times New Roman"/>
                <w:b w:val="0"/>
                <w:i w:val="0"/>
                <w:color w:val="000000"/>
                <w:sz w:val="24"/>
              </w:rPr>
              <w:t>Jorge Elieser MÁRQUEZ MONSALVE</w:t>
            </w:r>
          </w:p>
        </w:tc>
        <w:tc>
          <w:tcPr>
            <w:tcW w:type="dxa" w:w="3594"/>
            <w:vAlign w:val="top"/>
          </w:tcPr>
          <w:p>
            <w:pPr>
              <w:spacing w:line="240" w:lineRule="auto" w:before="120" w:after="120"/>
              <w:ind w:left="0" w:right="0" w:firstLine="0"/>
              <w:jc w:val="left"/>
            </w:pPr>
            <w:r>
              <w:rPr>
                <w:rFonts w:ascii="Times New Roman" w:hAnsi="Times New Roman"/>
                <w:b w:val="0"/>
                <w:i w:val="0"/>
                <w:color w:val="000000"/>
                <w:sz w:val="24"/>
              </w:rPr>
              <w:t>DOB: 20.2.1971</w:t>
            </w:r>
            <w:r>
              <w:rPr>
                <w:rFonts w:ascii="Times New Roman" w:hAnsi="Times New Roman"/>
                <w:b w:val="0"/>
                <w:i w:val="0"/>
                <w:color w:val="000000"/>
                <w:sz w:val="24"/>
              </w:rPr>
              <w:br/>
              <w:t>POB: Caracas, Venezuela</w:t>
            </w:r>
            <w:r>
              <w:rPr>
                <w:rFonts w:ascii="Times New Roman" w:hAnsi="Times New Roman"/>
                <w:b w:val="0"/>
                <w:i w:val="0"/>
                <w:color w:val="000000"/>
                <w:sz w:val="24"/>
              </w:rPr>
              <w:br/>
              <w:t>ID number: V-8714253</w:t>
            </w:r>
            <w:r>
              <w:rPr>
                <w:rFonts w:ascii="Times New Roman" w:hAnsi="Times New Roman"/>
                <w:b w:val="0"/>
                <w:i w:val="0"/>
                <w:color w:val="000000"/>
                <w:sz w:val="24"/>
              </w:rPr>
              <w:br/>
              <w:t>Gender: male</w:t>
            </w:r>
          </w:p>
        </w:tc>
        <w:tc>
          <w:tcPr>
            <w:tcW w:type="dxa" w:w="6358"/>
            <w:vAlign w:val="top"/>
          </w:tcPr>
          <w:p>
            <w:pPr>
              <w:spacing w:line="240" w:lineRule="auto" w:before="120" w:after="120"/>
              <w:ind w:left="0" w:right="0" w:firstLine="0"/>
              <w:jc w:val="left"/>
            </w:pPr>
            <w:r>
              <w:rPr>
                <w:rFonts w:ascii="Times New Roman" w:hAnsi="Times New Roman"/>
                <w:b w:val="0"/>
                <w:i w:val="0"/>
                <w:color w:val="000000"/>
                <w:sz w:val="24"/>
              </w:rPr>
              <w:t>Minister of Electricity and Vice-President of Public Works and Utilities since 23 April 2024. Former Minister of the Office of the Presidency and Director-General of the National Commission of Telecommunications (CONATEL) since 7 August 2017. His actions have undermined democracy or the rule of law in Venezuela, including by severely limiting the rights of the Venezuelan people to a free press, free speech and information. He used the special powers of CONATEL to silence criticism and dissidents of the regime by blocking, filtering and obstructing internet websites, by revoking existing licences for radio and television stations and by refusing to grant new ones.</w:t>
            </w:r>
          </w:p>
        </w:tc>
        <w:tc>
          <w:tcPr>
            <w:tcW w:type="dxa" w:w="1299"/>
            <w:vAlign w:val="top"/>
          </w:tcPr>
          <w:p>
            <w:pPr>
              <w:spacing w:line="240" w:lineRule="auto" w:before="120" w:after="120"/>
              <w:ind w:left="0" w:right="0" w:firstLine="0"/>
              <w:jc w:val="left"/>
            </w:pPr>
            <w:r>
              <w:rPr>
                <w:rFonts w:ascii="Times New Roman" w:hAnsi="Times New Roman"/>
                <w:b w:val="0"/>
                <w:i w:val="0"/>
                <w:color w:val="000000"/>
                <w:sz w:val="24"/>
              </w:rPr>
              <w:t>29.6.2020</w:t>
            </w:r>
          </w:p>
        </w:tc>
      </w:tr>
      <w:tr>
        <w:trPr>
          <w:cantSplit/>
        </w:trPr>
        <w:tc>
          <w:tcPr>
            <w:tcW w:type="dxa" w:w="741"/>
            <w:vAlign w:val="top"/>
          </w:tcPr>
          <w:p>
            <w:pPr>
              <w:spacing w:line="240" w:lineRule="auto" w:before="120" w:after="120"/>
              <w:ind w:left="0" w:right="0" w:firstLine="0"/>
              <w:jc w:val="left"/>
            </w:pPr>
            <w:r>
              <w:rPr>
                <w:rFonts w:ascii="Times New Roman" w:hAnsi="Times New Roman"/>
                <w:b w:val="0"/>
                <w:i w:val="0"/>
                <w:color w:val="000000"/>
                <w:sz w:val="24"/>
              </w:rPr>
              <w:t>37.</w:t>
            </w:r>
          </w:p>
        </w:tc>
        <w:tc>
          <w:tcPr>
            <w:tcW w:type="dxa" w:w="2488"/>
            <w:vAlign w:val="top"/>
          </w:tcPr>
          <w:p>
            <w:pPr>
              <w:spacing w:line="240" w:lineRule="auto" w:before="120" w:after="120"/>
              <w:ind w:left="0" w:right="0" w:firstLine="0"/>
              <w:jc w:val="left"/>
            </w:pPr>
            <w:r>
              <w:rPr>
                <w:rFonts w:ascii="Times New Roman" w:hAnsi="Times New Roman"/>
                <w:b w:val="0"/>
                <w:i w:val="0"/>
                <w:color w:val="000000"/>
                <w:sz w:val="24"/>
              </w:rPr>
              <w:t>Remigio CEBALLOS ICHASO</w:t>
            </w:r>
          </w:p>
        </w:tc>
        <w:tc>
          <w:tcPr>
            <w:tcW w:type="dxa" w:w="3594"/>
            <w:vAlign w:val="top"/>
          </w:tcPr>
          <w:p>
            <w:pPr>
              <w:spacing w:line="240" w:lineRule="auto" w:before="120" w:after="120"/>
              <w:ind w:left="0" w:right="0" w:firstLine="0"/>
              <w:jc w:val="left"/>
            </w:pPr>
            <w:r>
              <w:rPr>
                <w:rFonts w:ascii="Times New Roman" w:hAnsi="Times New Roman"/>
                <w:b w:val="0"/>
                <w:i w:val="0"/>
                <w:color w:val="000000"/>
                <w:sz w:val="24"/>
              </w:rPr>
              <w:t>DOB: 1.5.1963</w:t>
            </w:r>
            <w:r>
              <w:rPr>
                <w:rFonts w:ascii="Times New Roman" w:hAnsi="Times New Roman"/>
                <w:b w:val="0"/>
                <w:i w:val="0"/>
                <w:color w:val="000000"/>
                <w:sz w:val="24"/>
              </w:rPr>
              <w:br/>
              <w:t>ID-number: V-6557495</w:t>
            </w:r>
            <w:r>
              <w:rPr>
                <w:rFonts w:ascii="Times New Roman" w:hAnsi="Times New Roman"/>
                <w:b w:val="0"/>
                <w:i w:val="0"/>
                <w:color w:val="000000"/>
                <w:sz w:val="24"/>
              </w:rPr>
              <w:br/>
              <w:t>Gender: male</w:t>
            </w:r>
          </w:p>
        </w:tc>
        <w:tc>
          <w:tcPr>
            <w:tcW w:type="dxa" w:w="6358"/>
            <w:vAlign w:val="top"/>
          </w:tcPr>
          <w:p>
            <w:pPr>
              <w:spacing w:line="240" w:lineRule="auto" w:before="120" w:after="120"/>
              <w:ind w:left="0" w:right="0" w:firstLine="0"/>
              <w:jc w:val="left"/>
            </w:pPr>
            <w:r>
              <w:rPr>
                <w:rFonts w:ascii="Times New Roman" w:hAnsi="Times New Roman"/>
                <w:b w:val="0"/>
                <w:i w:val="0"/>
                <w:color w:val="000000"/>
                <w:sz w:val="24"/>
              </w:rPr>
              <w:t>Venezuela’s Ambassador to China. Former Minister of the Interior and Justice of Venezuela (August 2021 – August 2024) and Vice-President of the Government for Citizen Security. Former Commander of the Operational and Strategic Command of the Bolivarian National Armed Forces of Venezuela (Comando Estratégico Operacional Fuerzas Armadas Nacionales Bolivarianas (CEOFANB)), the highest organ in the Venezuelan Armed Forces (June 2017 – July 2021). CEOFANB controls the Bolivarian National Armed Forces (FANB) and the Bolivarian National Guard. CEOFANB is also responsible for coordinating FANB interventions in demonstrations. In his position as Commander of CEOFANB, he was responsible for serious human rights violations, including the use of excessive force and inhuman and degrading treatment by officials of the FANB and by subordinate forces under his command, including the Bolivarian National Guard. Various sources, including the Independent International Fact-Finding Mission on the Bolivarian Republic of Venezuela, attribute human rights violations to FANB and the Bolivarian National Guard.</w:t>
            </w:r>
          </w:p>
        </w:tc>
        <w:tc>
          <w:tcPr>
            <w:tcW w:type="dxa" w:w="1299"/>
            <w:vAlign w:val="top"/>
          </w:tcPr>
          <w:p>
            <w:pPr>
              <w:spacing w:line="240" w:lineRule="auto" w:before="120" w:after="120"/>
              <w:ind w:left="0" w:right="0" w:firstLine="0"/>
              <w:jc w:val="left"/>
            </w:pPr>
            <w:r>
              <w:rPr>
                <w:rFonts w:ascii="Times New Roman" w:hAnsi="Times New Roman"/>
                <w:b w:val="0"/>
                <w:i w:val="0"/>
                <w:color w:val="000000"/>
                <w:sz w:val="24"/>
              </w:rPr>
              <w:t>22.2.2021’</w:t>
            </w:r>
          </w:p>
        </w:tc>
      </w:tr>
    </w:tbl>
    <w:sectPr w:rsidR="00FC693F" w:rsidRPr="0006063C" w:rsidSect="00034616">
      <w:pgSz w:w="15840" w:h="12240"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Council Decision (CFSP) 2017/2074 of 13 November 2017 concerning restrictive measures in view of the situation in Venezuela (OJ L 295, 14.11.2017, p. 60, ELI: http://data.europa.eu/eli/dec/2017/2074/oj).</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footnotePr>
    <w:footnote w:id="-1"/>
    <w:footnote w:id="0"/>
  </w:footnotePr>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uiPriority w:val="99"/>
    <w:semiHidden/>
    <w:unhideWhenUsed/>
    <w:pPr>
      <w:spacing w:before="0" w:after="0" w:line="240" w:lineRule="auto"/>
    </w:pPr>
    <w:rPr>
      <w:rFonts w:ascii="Times New Roman" w:hAnsi="Times New Roman" w:eastAsia="Times New Roman" w:cs="Times New Roman"/>
      <w:sz w:val="20"/>
      <w:szCs w:val="20"/>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ype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