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</w:pPr>
      <w:r>
        <w:rPr>
          <w:rFonts w:ascii="Avenir Next LT Pro" w:cs="Avenir Next LT Pro" w:eastAsia="Avenir Next LT Pro" w:hAnsi="Avenir Next LT Pro"/>
          <w:color w:val="41329B"/>
          <w:sz w:val="48"/>
          <w:szCs w:val="48"/>
        </w:rPr>
        <w:t xml:space="preserve">Interview test</w:t>
      </w:r>
    </w:p>
    <w:p>
      <w:pPr>
        <w:pStyle w:val="Heading1"/>
        <w:spacing w:after="200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84"/>
          <w:szCs w:val="84"/>
        </w:rPr>
        <w:t xml:space="preserve">Security Agent Use Cases</w:t>
      </w:r>
    </w:p>
    <w:p>
      <w:pPr>
        <w:spacing w:after="320"/>
      </w:pPr>
      <w:r>
        <w:rPr>
          <w:rFonts w:ascii="Avenir Next LT Pro" w:cs="Avenir Next LT Pro" w:eastAsia="Avenir Next LT Pro" w:hAnsi="Avenir Next LT Pro"/>
          <w:color w:val="41329B"/>
          <w:sz w:val="60"/>
          <w:szCs w:val="60"/>
        </w:rPr>
        <w:t xml:space="preserve">Two ways an agent supports security teams</w:t>
      </w:r>
    </w:p>
    <w:p>
      <w:pPr>
        <w:spacing w:after="160" w:line="336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Security work often waits on people’s time. These two use cases show how an AI agent handles first-pass work, so experts focus on the decisions that matter.</w:t>
      </w:r>
    </w:p>
    <w:p>
      <w:pPr>
        <w:spacing w:after="360" w:line="336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In both, a human approves anything high-risk.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8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F" w:color="auto" w:val="clear"/>
            <w:tcMar>
              <w:top w:type="dxa" w:w="24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rFonts w:ascii="Avenir Next LT Pro" w:cs="Avenir Next LT Pro" w:eastAsia="Avenir Next LT Pro" w:hAnsi="Avenir Next LT Pro"/>
                <w:color w:val="41329B"/>
                <w:sz w:val="21"/>
                <w:szCs w:val="21"/>
              </w:rPr>
              <w:t xml:space="preserve">Use case 1</w:t>
            </w:r>
          </w:p>
          <w:p>
            <w:pPr>
              <w:spacing w:after="120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23004B"/>
                <w:sz w:val="36"/>
                <w:szCs w:val="36"/>
              </w:rPr>
              <w:t xml:space="preserve">Security Architecture Review Agent</w:t>
            </w:r>
          </w:p>
          <w:p>
            <w:pPr>
              <w:spacing w:after="0" w:line="320"/>
            </w:pPr>
            <w:r>
              <w:rPr>
                <w:rFonts w:ascii="Avenir Next LT Pro" w:cs="Avenir Next LT Pro" w:eastAsia="Avenir Next LT Pro" w:hAnsi="Avenir Next LT Pro"/>
                <w:color w:val="23004B"/>
                <w:sz w:val="21"/>
                <w:szCs w:val="21"/>
              </w:rPr>
              <w:t xml:space="preserve">Reviews designs as a first pass and routes high-risk items to a human architect.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F" w:color="auto" w:val="clear"/>
            <w:tcMar>
              <w:top w:type="dxa" w:w="24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rFonts w:ascii="Avenir Next LT Pro" w:cs="Avenir Next LT Pro" w:eastAsia="Avenir Next LT Pro" w:hAnsi="Avenir Next LT Pro"/>
                <w:color w:val="41329B"/>
                <w:sz w:val="21"/>
                <w:szCs w:val="21"/>
              </w:rPr>
              <w:t xml:space="preserve">Use case 2</w:t>
            </w:r>
          </w:p>
          <w:p>
            <w:pPr>
              <w:spacing w:after="120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23004B"/>
                <w:sz w:val="36"/>
                <w:szCs w:val="36"/>
              </w:rPr>
              <w:t xml:space="preserve">Penetration Testing Agent</w:t>
            </w:r>
          </w:p>
          <w:p>
            <w:pPr>
              <w:spacing w:after="0" w:line="320"/>
            </w:pPr>
            <w:r>
              <w:rPr>
                <w:rFonts w:ascii="Avenir Next LT Pro" w:cs="Avenir Next LT Pro" w:eastAsia="Avenir Next LT Pro" w:hAnsi="Avenir Next LT Pro"/>
                <w:color w:val="23004B"/>
                <w:sz w:val="21"/>
                <w:szCs w:val="21"/>
              </w:rPr>
              <w:t xml:space="preserve">Assists with reconnaissance, testing and reporting. Pauses for human approval before any intrusive action.</w:t>
            </w:r>
          </w:p>
        </w:tc>
      </w:tr>
    </w:tbl>
    <w:p>
      <w:pPr>
        <w:pBdr>
          <w:top w:val="single" w:color="828CE1" w:sz="6" w:space="12"/>
        </w:pBdr>
        <w:spacing w:after="120" w:before="900"/>
      </w:pPr>
      <w:r>
        <w:rPr>
          <w:rFonts w:ascii="Avenir Next LT Pro" w:cs="Avenir Next LT Pro" w:eastAsia="Avenir Next LT Pro" w:hAnsi="Avenir Next LT Pro"/>
          <w:color w:val="23004B"/>
          <w:sz w:val="18"/>
          <w:szCs w:val="18"/>
        </w:rPr>
        <w:t xml:space="preserve">Zelis exclusively employs closed-source artificial intelligence (AI) platforms to enrich its product suite, ensuring adherence to legal, ethical and industry-leading standards. All outcomes are rigorously and continuously reviewed by Zelis personnel to ensure quality and reliability.</w:t>
      </w:r>
    </w:p>
    <w:p>
      <w:r>
        <w:br w:type="page"/>
      </w:r>
    </w:p>
    <w:p>
      <w:pPr>
        <w:spacing w:after="100"/>
      </w:pPr>
      <w:r>
        <w:rPr>
          <w:rFonts w:ascii="Avenir Next LT Pro" w:cs="Avenir Next LT Pro" w:eastAsia="Avenir Next LT Pro" w:hAnsi="Avenir Next LT Pro"/>
          <w:color w:val="41329B"/>
          <w:sz w:val="36"/>
          <w:szCs w:val="36"/>
        </w:rPr>
        <w:t xml:space="preserve">Use case 1</w:t>
      </w:r>
    </w:p>
    <w:p>
      <w:pPr>
        <w:pStyle w:val="Heading2"/>
        <w:spacing w:after="280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72"/>
          <w:szCs w:val="72"/>
        </w:rPr>
        <w:t xml:space="preserve">Security Architecture Review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F" w:color="auto" w:val="clear"/>
            <w:tcMar>
              <w:top w:type="dxa" w:w="220"/>
              <w:left w:type="dxa" w:w="280"/>
              <w:bottom w:type="dxa" w:w="140"/>
              <w:right w:type="dxa" w:w="280"/>
            </w:tcMar>
          </w:tcPr>
          <w:p>
            <w:pPr>
              <w:spacing w:after="100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41329B"/>
                <w:sz w:val="36"/>
                <w:szCs w:val="36"/>
              </w:rPr>
              <w:t xml:space="preserve">Problem</w:t>
            </w:r>
          </w:p>
          <w:p>
            <w:pPr>
              <w:spacing w:after="100" w:line="336"/>
            </w:pPr>
            <w:r>
              <w:rPr>
                <w:rFonts w:ascii="Avenir Next LT Pro" w:cs="Avenir Next LT Pro" w:eastAsia="Avenir Next LT Pro" w:hAnsi="Avenir Next LT Pro"/>
                <w:color w:val="23004B"/>
                <w:sz w:val="24"/>
                <w:szCs w:val="24"/>
              </w:rPr>
              <w:t xml:space="preserve">Security teams can’t review every design document, so reviews are slow, inconsistent or skipped for lower-risk projects. Engineers wait weeks for feedback that arrives after the design is already built.</w:t>
            </w:r>
          </w:p>
        </w:tc>
      </w:tr>
    </w:tbl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Actors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Engineers submitting designs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Security architects who review and approve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The agent as a first-pass reviewer</w:t>
      </w:r>
    </w:p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Design documents, architecture diagrams and data flow descriptions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Infrastructure-as-code or service configurations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Organization standards, for example authentication requirements, encryption policy and approved services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Frameworks such as STRIDE, the Open Worldwide Application Security Project (OWASP) Application Security Verification Standard (ASVS) and Center for Internet Security (CIS) or cloud provider benchmarks</w:t>
      </w:r>
    </w:p>
    <w:p>
      <w:pPr>
        <w:keepNext/>
        <w:pageBreakBefore/>
        <w:spacing w:after="100" w:before="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Agent Workflow</w:t>
      </w:r>
    </w:p>
    <w:p>
      <w:pPr>
        <w:pStyle w:val="ListParagraph"/>
        <w:keepNext/>
        <w:keepLines/>
        <w:numPr>
          <w:ilvl w:val="0"/>
          <w:numId w:val="3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Parse the design and identify components, trust boundaries, data classification and external dependencies.</w:t>
      </w:r>
    </w:p>
    <w:p>
      <w:pPr>
        <w:pStyle w:val="ListParagraph"/>
        <w:keepNext/>
        <w:keepLines/>
        <w:numPr>
          <w:ilvl w:val="0"/>
          <w:numId w:val="3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Ask clarifying questions when key details are missing, for example where secrets are stored or how services authenticate.</w:t>
      </w:r>
    </w:p>
    <w:p>
      <w:pPr>
        <w:pStyle w:val="ListParagraph"/>
        <w:keepNext/>
        <w:keepLines/>
        <w:numPr>
          <w:ilvl w:val="0"/>
          <w:numId w:val="3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Run a structured threat model, mapping threats to each component and data flow.</w:t>
      </w:r>
    </w:p>
    <w:p>
      <w:pPr>
        <w:pStyle w:val="ListParagraph"/>
        <w:keepNext/>
        <w:keepLines/>
        <w:numPr>
          <w:ilvl w:val="0"/>
          <w:numId w:val="3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Check the design against internal policies and control frameworks.</w:t>
      </w:r>
    </w:p>
    <w:p>
      <w:pPr>
        <w:pStyle w:val="ListParagraph"/>
        <w:keepNext/>
        <w:keepLines/>
        <w:numPr>
          <w:ilvl w:val="0"/>
          <w:numId w:val="3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Rate each finding by severity and likelihood, with a recommended mitigation.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Produce a review report and route high-risk items to a human architect.</w:t>
      </w:r>
    </w:p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Prioritized findings with rationale and remediation guidance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A threat model summary and updated data flow diagram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A pass, conditional pass or escalate recommendation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An audit trail of what was reviewed and which assumptions were made</w:t>
      </w:r>
    </w:p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Guardrails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The agent advises, and a human approves anything high-risk.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The agent has read-only access to designs and configurations.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Findings cite the specific policy or framework control behind them.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Sensitive documents stay within the approved data boundary.</w:t>
      </w:r>
    </w:p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Review turnaround time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Percent of designs reviewed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Findings accepted by human reviewers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Security issues caught before production</w:t>
      </w:r>
    </w:p>
    <w:p>
      <w:r>
        <w:br w:type="page"/>
      </w:r>
    </w:p>
    <w:p>
      <w:pPr>
        <w:spacing w:after="100"/>
      </w:pPr>
      <w:r>
        <w:rPr>
          <w:rFonts w:ascii="Avenir Next LT Pro" w:cs="Avenir Next LT Pro" w:eastAsia="Avenir Next LT Pro" w:hAnsi="Avenir Next LT Pro"/>
          <w:color w:val="41329B"/>
          <w:sz w:val="36"/>
          <w:szCs w:val="36"/>
        </w:rPr>
        <w:t xml:space="preserve">Use case 1</w:t>
      </w:r>
    </w:p>
    <w:p>
      <w:pPr>
        <w:pStyle w:val="Heading2"/>
        <w:spacing w:after="200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72"/>
          <w:szCs w:val="72"/>
        </w:rPr>
        <w:t xml:space="preserve">Design and Tools</w:t>
      </w:r>
    </w:p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Shared Foundation for Both Agents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A large language model (LLM) in the approved cloud boundary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A fixed workflow graph, such as LangGraph or the Claude Agent SDK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Least-privilege tools through Model Context Protocol (MCP) servers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Structured JSON findings, so code handles scoring and routing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Slack, Jira or ServiceNow approvals, plus audit logs and tracing</w:t>
      </w:r>
    </w:p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How It’s Built</w:t>
      </w:r>
    </w:p>
    <w:p>
      <w:pPr>
        <w:pStyle w:val="ListParagraph"/>
        <w:keepLines/>
        <w:numPr>
          <w:ilvl w:val="0"/>
          <w:numId w:val="4"/>
        </w:numPr>
        <w:spacing w:after="70" w:line="312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24"/>
          <w:szCs w:val="24"/>
        </w:rPr>
        <w:t xml:space="preserve">Ingest. </w:t>
      </w: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Connectors pull design documents from Confluence, Jira or Git. Infrastructure-as-code is parsed directly.</w:t>
      </w:r>
    </w:p>
    <w:p>
      <w:pPr>
        <w:pStyle w:val="ListParagraph"/>
        <w:keepLines/>
        <w:numPr>
          <w:ilvl w:val="0"/>
          <w:numId w:val="4"/>
        </w:numPr>
        <w:spacing w:after="70" w:line="312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24"/>
          <w:szCs w:val="24"/>
        </w:rPr>
        <w:t xml:space="preserve">Model the system. </w:t>
      </w: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The agent turns the design into structured components, trust boundaries and data flows.</w:t>
      </w:r>
    </w:p>
    <w:p>
      <w:pPr>
        <w:pStyle w:val="ListParagraph"/>
        <w:keepLines/>
        <w:numPr>
          <w:ilvl w:val="0"/>
          <w:numId w:val="4"/>
        </w:numPr>
        <w:spacing w:after="70" w:line="312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24"/>
          <w:szCs w:val="24"/>
        </w:rPr>
        <w:t xml:space="preserve">Retrieve standards. </w:t>
      </w: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Search over policies, STRIDE, OWASP ASVS and CIS benchmarks lets each finding cite a control.</w:t>
      </w:r>
    </w:p>
    <w:p>
      <w:pPr>
        <w:pStyle w:val="ListParagraph"/>
        <w:keepLines/>
        <w:numPr>
          <w:ilvl w:val="0"/>
          <w:numId w:val="4"/>
        </w:numPr>
        <w:spacing w:after="70" w:line="312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24"/>
          <w:szCs w:val="24"/>
        </w:rPr>
        <w:t xml:space="preserve">Check automatically. </w:t>
      </w: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Policy-as-code and scanners test configurations. The LLM covers design-level threats that rules can’t.</w:t>
      </w:r>
    </w:p>
    <w:p>
      <w:pPr>
        <w:pStyle w:val="ListParagraph"/>
        <w:keepLines/>
        <w:numPr>
          <w:ilvl w:val="0"/>
          <w:numId w:val="4"/>
        </w:numPr>
        <w:spacing w:after="70" w:line="312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24"/>
          <w:szCs w:val="24"/>
        </w:rPr>
        <w:t xml:space="preserve">Report. </w:t>
      </w: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The agent asks engineers questions, publishes the report and diagram, and opens a Jira ticket for high-risk items.</w:t>
      </w:r>
    </w:p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Tools and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00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00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1"/>
                <w:szCs w:val="21"/>
              </w:rPr>
              <w:t xml:space="preserve">Tools and technologies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23004B"/>
                <w:sz w:val="21"/>
                <w:szCs w:val="21"/>
              </w:rPr>
              <w:t xml:space="preserve">Inputs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 w:val="false"/>
                <w:bCs w:val="false"/>
                <w:color w:val="23004B"/>
                <w:sz w:val="21"/>
                <w:szCs w:val="21"/>
              </w:rPr>
              <w:t xml:space="preserve">Confluence, Jira, Git, Mermaid, PlantUML, Terraform, Kubernetes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23004B"/>
                <w:sz w:val="21"/>
                <w:szCs w:val="21"/>
              </w:rPr>
              <w:t xml:space="preserve">Threat modeling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 w:val="false"/>
                <w:bCs w:val="false"/>
                <w:color w:val="23004B"/>
                <w:sz w:val="21"/>
                <w:szCs w:val="21"/>
              </w:rPr>
              <w:t xml:space="preserve">OWASP Threat Dragon, pytm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23004B"/>
                <w:sz w:val="21"/>
                <w:szCs w:val="21"/>
              </w:rPr>
              <w:t xml:space="preserve">Policy checks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 w:val="false"/>
                <w:bCs w:val="false"/>
                <w:color w:val="23004B"/>
                <w:sz w:val="21"/>
                <w:szCs w:val="21"/>
              </w:rPr>
              <w:t xml:space="preserve">Open Policy Agent (OPA), Conftest, Checkov, Trivy, KICS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23004B"/>
                <w:sz w:val="21"/>
                <w:szCs w:val="21"/>
              </w:rPr>
              <w:t xml:space="preserve">Knowledge and safety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 w:val="false"/>
                <w:bCs w:val="false"/>
                <w:color w:val="23004B"/>
                <w:sz w:val="21"/>
                <w:szCs w:val="21"/>
              </w:rPr>
              <w:t xml:space="preserve">Policy retrieval, read-only access, approved data boundary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venir Next LT Pro" w:cs="Avenir Next LT Pro" w:eastAsia="Avenir Next LT Pro" w:hAnsi="Avenir Next LT Pro"/>
          <w:color w:val="41329B"/>
          <w:sz w:val="36"/>
          <w:szCs w:val="36"/>
        </w:rPr>
        <w:t xml:space="preserve">Use case 2</w:t>
      </w:r>
    </w:p>
    <w:p>
      <w:pPr>
        <w:pStyle w:val="Heading2"/>
        <w:spacing w:after="280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72"/>
          <w:szCs w:val="72"/>
        </w:rPr>
        <w:t xml:space="preserve">Penetration Testing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F" w:color="auto" w:val="clear"/>
            <w:tcMar>
              <w:top w:type="dxa" w:w="220"/>
              <w:left w:type="dxa" w:w="280"/>
              <w:bottom w:type="dxa" w:w="140"/>
              <w:right w:type="dxa" w:w="280"/>
            </w:tcMar>
          </w:tcPr>
          <w:p>
            <w:pPr>
              <w:spacing w:after="100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41329B"/>
                <w:sz w:val="36"/>
                <w:szCs w:val="36"/>
              </w:rPr>
              <w:t xml:space="preserve">Problem</w:t>
            </w:r>
          </w:p>
          <w:p>
            <w:pPr>
              <w:spacing w:after="100" w:line="336"/>
            </w:pPr>
            <w:r>
              <w:rPr>
                <w:rFonts w:ascii="Avenir Next LT Pro" w:cs="Avenir Next LT Pro" w:eastAsia="Avenir Next LT Pro" w:hAnsi="Avenir Next LT Pro"/>
                <w:color w:val="23004B"/>
                <w:sz w:val="24"/>
                <w:szCs w:val="24"/>
              </w:rPr>
              <w:t xml:space="preserve">Manual penetration tests (pentests) are expensive and periodic, and they’re out of date within weeks of shipping. Most environments get tested once or twice a year, so new exposures sit undiscovered between engagements.</w:t>
            </w:r>
          </w:p>
        </w:tc>
      </w:tr>
    </w:tbl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Actors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Security testers who define scope and review results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System owners who authorize testing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The agent as an assistant that handles reconnaissance, testing and reporting</w:t>
      </w:r>
    </w:p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Signed scope: in-scope assets, IP ranges, test windows and off-limits systems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Rules of engagement: allowed techniques, rate limits and escalation contacts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Prior reports, asset inventories and architecture documents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Methodologies such as OWASP Web Security Testing Guide (WSTG), Penetration Testing Execution Standard (PTES) and MITRE ATT&amp;CK</w:t>
      </w:r>
    </w:p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Agent Workflow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Validate scope and authorization before any activity starts.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Run reconnaissance and enumerate services, endpoints and exposed technologies.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Identify likely weaknesses using scanners and configuration checks.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Validate findings with safe, non-destructive proof-of-concept checks.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Map attack paths and chain related findings to show real impact.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Pause for human approval before any higher-risk or intrusive action.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Produce a report with evidence, reproduction steps and remediation.</w:t>
      </w:r>
    </w:p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Validated findings ranked by exploitability and business impact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Attack path summary mapped to MITRE ATT&amp;CK techniques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Retest results confirming fixes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A full action log of every command, target and timestamp</w:t>
      </w:r>
    </w:p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Guardrails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Hard scope enforcement: the agent can’t touch anything outside the signed scope.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The agent never takes destructive actions, exfiltrates data or causes denial of service.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Human approval gates apply to any exploitation beyond proof of concept.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A kill switch, rate limiting and test-window enforcement keep activity in bounds.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The agent encrypts credentials and captured data, and purges them after the engagement.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Testing starts in isolated or staging environments.</w:t>
      </w:r>
    </w:p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Validated-finding rate (low false positives)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Time to first report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Coverage of in-scope assets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Findings accepted by human testers</w:t>
      </w:r>
    </w:p>
    <w:p>
      <w:pPr>
        <w:pStyle w:val="ListParagraph"/>
        <w:numPr>
          <w:ilvl w:val="0"/>
          <w:numId w:val="2"/>
        </w:numPr>
        <w:spacing w:after="70" w:line="312"/>
      </w:pP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Mean time to remediate</w:t>
      </w:r>
    </w:p>
    <w:p>
      <w:r>
        <w:br w:type="page"/>
      </w:r>
    </w:p>
    <w:p>
      <w:pPr>
        <w:spacing w:after="100"/>
      </w:pPr>
      <w:r>
        <w:rPr>
          <w:rFonts w:ascii="Avenir Next LT Pro" w:cs="Avenir Next LT Pro" w:eastAsia="Avenir Next LT Pro" w:hAnsi="Avenir Next LT Pro"/>
          <w:color w:val="41329B"/>
          <w:sz w:val="36"/>
          <w:szCs w:val="36"/>
        </w:rPr>
        <w:t xml:space="preserve">Use case 2</w:t>
      </w:r>
    </w:p>
    <w:p>
      <w:pPr>
        <w:pStyle w:val="Heading2"/>
        <w:spacing w:after="200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72"/>
          <w:szCs w:val="72"/>
        </w:rPr>
        <w:t xml:space="preserve">Design and Tools</w:t>
      </w:r>
    </w:p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How It’s Built</w:t>
      </w:r>
    </w:p>
    <w:p>
      <w:pPr>
        <w:pStyle w:val="ListParagraph"/>
        <w:keepLines/>
        <w:numPr>
          <w:ilvl w:val="0"/>
          <w:numId w:val="6"/>
        </w:numPr>
        <w:spacing w:after="70" w:line="312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24"/>
          <w:szCs w:val="24"/>
        </w:rPr>
        <w:t xml:space="preserve">Enforce scope outside the model. </w:t>
      </w: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A gateway checks every tool call against the signed scope, test window and rate limit. It runs as code, so the model can’t bypass it.</w:t>
      </w:r>
    </w:p>
    <w:p>
      <w:pPr>
        <w:pStyle w:val="ListParagraph"/>
        <w:keepLines/>
        <w:numPr>
          <w:ilvl w:val="0"/>
          <w:numId w:val="6"/>
        </w:numPr>
        <w:spacing w:after="70" w:line="312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24"/>
          <w:szCs w:val="24"/>
        </w:rPr>
        <w:t xml:space="preserve">Sandbox the tools. </w:t>
      </w: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Ephemeral containers allow only in-scope targets. Credentials are short-lived and purged afterward.</w:t>
      </w:r>
    </w:p>
    <w:p>
      <w:pPr>
        <w:pStyle w:val="ListParagraph"/>
        <w:keepLines/>
        <w:numPr>
          <w:ilvl w:val="0"/>
          <w:numId w:val="6"/>
        </w:numPr>
        <w:spacing w:after="70" w:line="312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24"/>
          <w:szCs w:val="24"/>
        </w:rPr>
        <w:t xml:space="preserve">Use standard tooling. </w:t>
      </w: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Nmap, httpx and nuclei handle discovery. OWASP ZAP, Nessus or OpenVAS handle scanning.</w:t>
      </w:r>
    </w:p>
    <w:p>
      <w:pPr>
        <w:pStyle w:val="ListParagraph"/>
        <w:keepLines/>
        <w:numPr>
          <w:ilvl w:val="0"/>
          <w:numId w:val="6"/>
        </w:numPr>
        <w:spacing w:after="70" w:line="312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24"/>
          <w:szCs w:val="24"/>
        </w:rPr>
        <w:t xml:space="preserve">Track state. </w:t>
      </w: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Postgres and Neo4j store assets, findings and attack paths mapped to MITRE ATT&amp;CK.</w:t>
      </w:r>
    </w:p>
    <w:p>
      <w:pPr>
        <w:pStyle w:val="ListParagraph"/>
        <w:keepLines/>
        <w:numPr>
          <w:ilvl w:val="0"/>
          <w:numId w:val="6"/>
        </w:numPr>
        <w:spacing w:after="70" w:line="312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24"/>
          <w:szCs w:val="24"/>
        </w:rPr>
        <w:t xml:space="preserve">Gate risky steps. </w:t>
      </w: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A policy engine requires approval beyond non-destructive proof of concept. A kill switch halts every runner.</w:t>
      </w:r>
    </w:p>
    <w:p>
      <w:pPr>
        <w:pStyle w:val="ListParagraph"/>
        <w:keepLines/>
        <w:numPr>
          <w:ilvl w:val="0"/>
          <w:numId w:val="6"/>
        </w:numPr>
        <w:spacing w:after="70" w:line="312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24"/>
          <w:szCs w:val="24"/>
        </w:rPr>
        <w:t xml:space="preserve">Log everything. </w:t>
      </w: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Every command, target and timestamp goes to an immutable log and the security information and event management (SIEM) system.</w:t>
      </w:r>
    </w:p>
    <w:p>
      <w:pPr>
        <w:pStyle w:val="ListParagraph"/>
        <w:keepLines/>
        <w:numPr>
          <w:ilvl w:val="0"/>
          <w:numId w:val="6"/>
        </w:numPr>
        <w:spacing w:after="70" w:line="312"/>
      </w:pPr>
      <w:r>
        <w:rPr>
          <w:rFonts w:ascii="Avenir Next LT Pro" w:cs="Avenir Next LT Pro" w:eastAsia="Avenir Next LT Pro" w:hAnsi="Avenir Next LT Pro"/>
          <w:b/>
          <w:bCs/>
          <w:color w:val="23004B"/>
          <w:sz w:val="24"/>
          <w:szCs w:val="24"/>
        </w:rPr>
        <w:t xml:space="preserve">Prove it safe first. </w:t>
      </w:r>
      <w:r>
        <w:rPr>
          <w:rFonts w:ascii="Avenir Next LT Pro" w:cs="Avenir Next LT Pro" w:eastAsia="Avenir Next LT Pro" w:hAnsi="Avenir Next LT Pro"/>
          <w:color w:val="23004B"/>
          <w:sz w:val="24"/>
          <w:szCs w:val="24"/>
        </w:rPr>
        <w:t xml:space="preserve">Testing runs against a lab such as OWASP Juice Shop, then staging, before any production work.</w:t>
      </w:r>
    </w:p>
    <w:p>
      <w:pPr>
        <w:keepNext/>
        <w:spacing w:after="100" w:before="320"/>
      </w:pPr>
      <w:r>
        <w:rPr>
          <w:rFonts w:ascii="Avenir Next LT Pro" w:cs="Avenir Next LT Pro" w:eastAsia="Avenir Next LT Pro" w:hAnsi="Avenir Next LT Pro"/>
          <w:b/>
          <w:bCs/>
          <w:color w:val="41329B"/>
          <w:sz w:val="36"/>
          <w:szCs w:val="36"/>
        </w:rPr>
        <w:t xml:space="preserve">Tools and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00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004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1"/>
                <w:szCs w:val="21"/>
              </w:rPr>
              <w:t xml:space="preserve">Tools and technologies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23004B"/>
                <w:sz w:val="21"/>
                <w:szCs w:val="21"/>
              </w:rPr>
              <w:t xml:space="preserve">Scope control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 w:val="false"/>
                <w:bCs w:val="false"/>
                <w:color w:val="23004B"/>
                <w:sz w:val="21"/>
                <w:szCs w:val="21"/>
              </w:rPr>
              <w:t xml:space="preserve">Scope gateway with test-window and rate-limit enforcement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23004B"/>
                <w:sz w:val="21"/>
                <w:szCs w:val="21"/>
              </w:rPr>
              <w:t xml:space="preserve">Sandbox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 w:val="false"/>
                <w:bCs w:val="false"/>
                <w:color w:val="23004B"/>
                <w:sz w:val="21"/>
                <w:szCs w:val="21"/>
              </w:rPr>
              <w:t xml:space="preserve">Ephemeral containers, Kali-based images, egress allow-list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23004B"/>
                <w:sz w:val="21"/>
                <w:szCs w:val="21"/>
              </w:rPr>
              <w:t xml:space="preserve">Discovery and scanning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 w:val="false"/>
                <w:bCs w:val="false"/>
                <w:color w:val="23004B"/>
                <w:sz w:val="21"/>
                <w:szCs w:val="21"/>
              </w:rPr>
              <w:t xml:space="preserve">Nmap, httpx, nuclei, OWASP ZAP, Burp (through its API), Nessus, OpenVAS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23004B"/>
                <w:sz w:val="21"/>
                <w:szCs w:val="21"/>
              </w:rPr>
              <w:t xml:space="preserve">Attack paths and logs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828CE1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300"/>
            </w:pPr>
            <w:r>
              <w:rPr>
                <w:rFonts w:ascii="Avenir Next LT Pro" w:cs="Avenir Next LT Pro" w:eastAsia="Avenir Next LT Pro" w:hAnsi="Avenir Next LT Pro"/>
                <w:b w:val="false"/>
                <w:bCs w:val="false"/>
                <w:color w:val="23004B"/>
                <w:sz w:val="21"/>
                <w:szCs w:val="21"/>
              </w:rPr>
              <w:t xml:space="preserve">BloodHound, Neo4j, Postgres, MITRE ATT&amp;CK, immutable log, SIEM</w:t>
            </w:r>
          </w:p>
        </w:tc>
      </w:tr>
    </w:tbl>
    <w:p>
      <w:pPr>
        <w:spacing w:after="0" w:before="240" w:line="300"/>
      </w:pPr>
      <w:r>
        <w:rPr>
          <w:rFonts w:ascii="Avenir Next LT Pro" w:cs="Avenir Next LT Pro" w:eastAsia="Avenir Next LT Pro" w:hAnsi="Avenir Next LT Pro"/>
          <w:color w:val="23004B"/>
          <w:sz w:val="21"/>
          <w:szCs w:val="21"/>
        </w:rPr>
        <w:t xml:space="preserve">Check the model provider’s usage policy for authorized security testing.</w:t>
      </w:r>
    </w:p>
    <w:sectPr>
      <w:headerReference w:type="default" r:id="rId7"/>
      <w:footerReference w:type="default" r:id="rId8"/>
      <w:pgSz w:w="12240" w:h="15840" w:orient="portrait"/>
      <w:pgMar w:top="2200" w:right="1440" w:bottom="1200" w:left="144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venir Next LT Pro" w:cs="Avenir Next LT Pro" w:eastAsia="Avenir Next LT Pro" w:hAnsi="Avenir Next LT Pro"/>
        <w:color w:val="23004B"/>
        <w:sz w:val="18"/>
        <w:szCs w:val="18"/>
      </w:rPr>
      <w:t xml:space="preserve">Interview Test  |  Security Agent Use Cases</w:t>
    </w:r>
    <w:r>
      <w:rPr>
        <w:rFonts w:ascii="Avenir Next LT Pro" w:cs="Avenir Next LT Pro" w:eastAsia="Avenir Next LT Pro" w:hAnsi="Avenir Next LT Pro"/>
        <w:color w:val="23004B"/>
        <w:sz w:val="18"/>
        <w:szCs w:val="18"/>
      </w:rPr>
      <w:t xml:space="preserve">	Page </w:t>
    </w:r>
    <w:r>
      <w:rPr>
        <w:rFonts w:ascii="Avenir Next LT Pro" w:cs="Avenir Next LT Pro" w:eastAsia="Avenir Next LT Pro" w:hAnsi="Avenir Next LT Pro"/>
        <w:color w:val="23004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508760" cy="891540"/>
          <wp:effectExtent t="0" r="0" b="0" l="0"/>
          <wp:docPr id="1" name="Zelis logo" descr="Zelis logo" title="Zeli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8760" cy="891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rFonts w:ascii="Avenir Next LT Pro" w:cs="Avenir Next LT Pro" w:eastAsia="Avenir Next LT Pro" w:hAnsi="Avenir Next LT Pro"/>
        <w:color w:val="320FF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  <w:rPr>
        <w:rFonts w:ascii="Avenir Next LT Pro" w:cs="Avenir Next LT Pro" w:eastAsia="Avenir Next LT Pro" w:hAnsi="Avenir Next LT Pro"/>
        <w:b/>
        <w:bCs/>
        <w:color w:val="41329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  <w:rPr>
        <w:rFonts w:ascii="Avenir Next LT Pro" w:cs="Avenir Next LT Pro" w:eastAsia="Avenir Next LT Pro" w:hAnsi="Avenir Next LT Pro"/>
        <w:b/>
        <w:bCs/>
        <w:color w:val="41329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  <w:rPr>
        <w:rFonts w:ascii="Avenir Next LT Pro" w:cs="Avenir Next LT Pro" w:eastAsia="Avenir Next LT Pro" w:hAnsi="Avenir Next LT Pro"/>
        <w:b/>
        <w:bCs/>
        <w:color w:val="41329B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  <w:rPr>
        <w:rFonts w:ascii="Avenir Next LT Pro" w:cs="Avenir Next LT Pro" w:eastAsia="Avenir Next LT Pro" w:hAnsi="Avenir Next LT Pro"/>
        <w:b/>
        <w:bCs/>
        <w:color w:val="41329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 LT Pro" w:cs="Avenir Next LT Pro" w:eastAsia="Avenir Next LT Pro" w:hAnsi="Avenir Next LT Pro"/>
        <w:color w:val="23004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venir Next LT Pro" w:cs="Avenir Next LT Pro" w:eastAsia="Avenir Next LT Pro" w:hAnsi="Avenir Next LT Pro"/>
      <w:b/>
      <w:bCs/>
      <w:color w:val="23004B"/>
      <w:sz w:val="84"/>
      <w:szCs w:val="8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venir Next LT Pro" w:cs="Avenir Next LT Pro" w:eastAsia="Avenir Next LT Pro" w:hAnsi="Avenir Next LT Pro"/>
      <w:b/>
      <w:bCs/>
      <w:color w:val="23004B"/>
      <w:sz w:val="72"/>
      <w:szCs w:val="7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38ec5fe9c95da8948b145069cc4b075133efd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Agent Use Cases</dc:title>
  <dc:creator>Zelis</dc:creator>
  <cp:lastModifiedBy>Un-named</cp:lastModifiedBy>
  <cp:revision>1</cp:revision>
  <dcterms:created xsi:type="dcterms:W3CDTF">2026-10-15T13:06:26.155Z</dcterms:created>
  <dcterms:modified xsi:type="dcterms:W3CDTF">2026-10-15T13:06:26.156Z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