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Fraud Detection Solution Wireframes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Open Sans" w:cs="Open Sans" w:eastAsia="Open Sans" w:hAnsi="Open Sans"/>
          <w:b w:val="1"/>
          <w:color w:val="0b539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5394"/>
          <w:sz w:val="24"/>
          <w:szCs w:val="24"/>
          <w:rtl w:val="0"/>
        </w:rPr>
        <w:t xml:space="preserve">Fraud Detection Dashboard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Open Sans" w:cs="Open Sans" w:eastAsia="Open Sans" w:hAnsi="Open Sans"/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Open Sans" w:cs="Open Sans" w:eastAsia="Open Sans" w:hAnsi="Open Sans"/>
          <w:b w:val="1"/>
          <w:color w:val="0b539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5394"/>
          <w:rtl w:val="0"/>
        </w:rPr>
        <w:t xml:space="preserve">Wireframe 1 :   </w:t>
      </w:r>
      <w:r w:rsidDel="00000000" w:rsidR="00000000" w:rsidRPr="00000000">
        <w:rPr>
          <w:rFonts w:ascii="Open Sans" w:cs="Open Sans" w:eastAsia="Open Sans" w:hAnsi="Open Sans"/>
          <w:b w:val="1"/>
          <w:color w:val="0b5394"/>
          <w:u w:val="single"/>
          <w:rtl w:val="0"/>
        </w:rPr>
        <w:t xml:space="preserve">Sign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Open Sans" w:cs="Open Sans" w:eastAsia="Open Sans" w:hAnsi="Open Sans"/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This is for the authentication purpose of the Fraud detection dashboard. User can sign in using default username and password.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-366712</wp:posOffset>
            </wp:positionH>
            <wp:positionV relativeFrom="paragraph">
              <wp:posOffset>152400</wp:posOffset>
            </wp:positionV>
            <wp:extent cx="6444515" cy="4700588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4515" cy="4700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Open Sans" w:cs="Open Sans" w:eastAsia="Open Sans" w:hAnsi="Open Sans"/>
          <w:sz w:val="20"/>
          <w:szCs w:val="20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5394"/>
          <w:rtl w:val="0"/>
        </w:rPr>
        <w:t xml:space="preserve">Wireframe 2 :    </w:t>
      </w:r>
      <w:r w:rsidDel="00000000" w:rsidR="00000000" w:rsidRPr="00000000">
        <w:rPr>
          <w:rFonts w:ascii="Open Sans" w:cs="Open Sans" w:eastAsia="Open Sans" w:hAnsi="Open Sans"/>
          <w:b w:val="1"/>
          <w:color w:val="0b5394"/>
          <w:u w:val="single"/>
          <w:rtl w:val="0"/>
        </w:rPr>
        <w:t xml:space="preserve">Fraudulent Transactions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This page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will shows the possible fraudulent transaction list using a tableview that has different transaction attributes. Here when a user clicks on a specific transaction it will move to the Investigation Graph page. (Wireframe 3)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When a new possible transaction comes it will appear as an alert on the dashboard and then the user can update the tableview with those new transactions.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Also a user can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search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for a specific transaction_ID , IP_address, credit_card from the search box  in the Dashboard.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-385762</wp:posOffset>
            </wp:positionH>
            <wp:positionV relativeFrom="paragraph">
              <wp:posOffset>0</wp:posOffset>
            </wp:positionV>
            <wp:extent cx="6489727" cy="4738688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27" cy="4738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Open Sans" w:cs="Open Sans" w:eastAsia="Open Sans" w:hAnsi="Open Sans"/>
          <w:b w:val="1"/>
          <w:color w:val="0b539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5394"/>
          <w:rtl w:val="0"/>
        </w:rPr>
        <w:t xml:space="preserve">Wireframe 3 :   </w:t>
      </w:r>
      <w:r w:rsidDel="00000000" w:rsidR="00000000" w:rsidRPr="00000000">
        <w:rPr>
          <w:rFonts w:ascii="Open Sans" w:cs="Open Sans" w:eastAsia="Open Sans" w:hAnsi="Open Sans"/>
          <w:b w:val="1"/>
          <w:color w:val="0b5394"/>
          <w:u w:val="single"/>
          <w:rtl w:val="0"/>
        </w:rPr>
        <w:t xml:space="preserve">Graph Investigation Page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Open Sans" w:cs="Open Sans" w:eastAsia="Open Sans" w:hAnsi="Open Sans"/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This is for the Graph Investigation of the Fraud detection dashboard. So when a user clicks on a possible fraudulent transaction from that table view (Wireframe 2), it will show the graph investigation page if there is clear relationships found among that transaction.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This page will shows the transaction relationship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graph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with the details. Also it shows the no of nodes, no of  relationships in the graph as a message. 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User can get back to the transactions table view using the breadcrumb in the top of the dashboard.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-414337</wp:posOffset>
            </wp:positionH>
            <wp:positionV relativeFrom="paragraph">
              <wp:posOffset>104775</wp:posOffset>
            </wp:positionV>
            <wp:extent cx="6586538" cy="4797359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47973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When a user clicks on a specific node of the graph it will shows the relevant details to that node. Also user can have zoom in, zoom out, mouse hover functionalities with the graph.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