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 xml:space="preserve">Trader Performance vs. Bitcoin Market Sentiment</w:t>
      </w:r>
    </w:p>
    <w:p>
      <w:pPr>
        <w:spacing w:after="800"/>
        <w:jc w:val="center"/>
      </w:pPr>
      <w:r>
        <w:rPr>
          <w:i/>
          <w:iCs/>
          <w:color w:val="666666"/>
          <w:sz w:val="26"/>
          <w:szCs w:val="26"/>
        </w:rPr>
        <w:t xml:space="preserve">A Quantitative Analysis of Hyperliquid Trading Behavior Across Fear &amp; Greed Regimes</w:t>
      </w:r>
    </w:p>
    <w:p>
      <w:pPr>
        <w:pBdr>
          <w:top w:val="single" w:color="5FA052" w:sz="6"/>
          <w:bottom w:val="single" w:color="5FA052" w:sz="6"/>
        </w:pBdr>
        <w:spacing w:after="200" w:before="200"/>
        <w:jc w:val="center"/>
      </w:pPr>
      <w:r>
        <w:rPr>
          <w:color w:val="1B3A5C"/>
          <w:sz w:val="22"/>
          <w:szCs w:val="22"/>
        </w:rPr>
        <w:t xml:space="preserve">  Data Science Internship Assignment  </w:t>
      </w:r>
    </w:p>
    <w:p>
      <w:pPr>
        <w:spacing w:before="1000"/>
        <w:jc w:val="center"/>
      </w:pPr>
      <w:r>
        <w:rPr>
          <w:b/>
          <w:bCs/>
          <w:sz w:val="24"/>
          <w:szCs w:val="24"/>
        </w:rPr>
        <w:t xml:space="preserve">Prepared by: Pawan</w:t>
      </w:r>
    </w:p>
    <w:p>
      <w:pPr>
        <w:jc w:val="center"/>
      </w:pPr>
      <w:r>
        <w:rPr>
          <w:color w:val="666666"/>
          <w:sz w:val="20"/>
          <w:szCs w:val="20"/>
        </w:rPr>
        <w:t xml:space="preserve">B.Tech Information Technology · AI/ML Engineering Candidate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IEC College of Engineering &amp; Technology, Greater Noida</w:t>
      </w:r>
    </w:p>
    <w:p>
      <w:pPr>
        <w:jc w:val="center"/>
      </w:pPr>
      <w:r>
        <w:rPr>
          <w:color w:val="666666"/>
          <w:sz w:val="18"/>
          <w:szCs w:val="18"/>
        </w:rPr>
        <w:t xml:space="preserve">Datasets: historical_data.csv (Hyperliquid trade data) · fear_greed_index.csv (Bitcoin Fear &amp; Greed Index)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/>
      </w:pPr>
      <w:r>
        <w:t xml:space="preserve">This analysis merged 211,224 Hyperliquid trade executions from 32 accounts (May 2023 – May 2025) with the Bitcoin Fear &amp; Greed Index to test whether market-wide sentiment relates to trader performance, position sizing, and behavior.</w:t>
      </w:r>
    </w:p>
    <w:p>
      <w:pPr>
        <w:spacing w:after="160"/>
      </w:pPr>
      <w:r>
        <w:t xml:space="preserve">Headline finding: performance does not follow a simple “fear is bad, greed is good” narrative. This trader cohort performed worst during Extreme Fear (76.2% win rate, $71.03 avg PnL/trade) and best during Extreme Greed (89.2% win rate, $130.21 avg PnL/trade), with Fear as a strong second-best regime (87.3% win rate) — a pattern closer to U-shaped than linear across the five sentiment states. This held up at the individual-trader level (median win rate rising from 82.3% to 93.8% between the two extremes), ruling out a pooling artifact.</w:t>
      </w:r>
    </w:p>
    <w:p>
      <w:pPr>
        <w:spacing w:after="160"/>
      </w:pPr>
      <w:r>
        <w:t xml:space="preserve">The most actionable risk finding is a size/edge mismatch: traders hold their largest average positions during Fear ($7,816) and Extreme Fear ($5,350) — the regime with their weakest performance — and their smallest positions during Extreme Greed ($3,112), their best-performing regime. Buy/Sell behavior showed healthy discipline, with the sell share rising steadily from 48.9% in Extreme Fear to 55.1% in Extreme Greed, consistent with profit-taking into strength.</w:t>
      </w:r>
    </w:p>
    <w:p>
      <w:pPr>
        <w:spacing w:after="160"/>
      </w:pPr>
      <w:r>
        <w:t xml:space="preserve">At the asset level, narrative/meme tokens (TRUMP, FARTCOIN, MELANIA, BERA, KAITO) were the single worst-performing symbol in every sentiment regime, while liquid mid-caps (SOL, ENA) topped the best-performer list — a pattern independent of sentiment. Sentiment score itself was a weak same-day PnL predictor (correlation = -0.098), and the strong Extreme Greed result was significantly concentrated in a single symbol, warranting caution before generalizing.</w:t>
      </w:r>
    </w:p>
    <w:p>
      <w:pPr>
        <w:spacing w:after="160"/>
      </w:pPr>
      <w:r>
        <w:rPr>
          <w:b/>
          <w:bCs/>
        </w:rPr>
        <w:t xml:space="preserve">Recommendation: de-risk (reduce size/leverage) specifically during Extreme Fear, scale exposure toward regimes with demonstrated edge (Fear, Extreme Greed), apply tighter risk controls to narrative/meme-coin exposure regardless of sentiment, and use the sentiment index as a portfolio-level risk overlay rather than a standalone trading trigger.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Objective &amp; Methodology</w:t>
      </w:r>
    </w:p>
    <w:p>
      <w:pPr>
        <w:pStyle w:val="Heading2"/>
        <w:spacing w:after="120" w:before="240"/>
      </w:pPr>
      <w:r>
        <w:t xml:space="preserve">1.1 Objective</w:t>
      </w:r>
    </w:p>
    <w:p>
      <w:pPr>
        <w:spacing w:after="160"/>
      </w:pPr>
      <w:r>
        <w:t xml:space="preserve">Explore the relationship between trader performance and Bitcoin market sentiment on Hyperliquid, uncover hidden behavioral patterns, and translate findings into actionable trading strategy recommendations.</w:t>
      </w:r>
    </w:p>
    <w:p>
      <w:pPr>
        <w:pStyle w:val="Heading2"/>
        <w:spacing w:after="120" w:before="240"/>
      </w:pPr>
      <w:r>
        <w:t xml:space="preserve">1.2 Data Sources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historical_data.csv — 211,224 individual trade executions across 32 accounts and 246 symbols, spanning 1 May 2023 to 1 May 2025. Fields include account, coin, execution price, size (tokens &amp; USD), side, direction, closed PnL, fee, and timestamp.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fear_greed_index.csv — daily Bitcoin Fear &amp; Greed Index classification (Extreme Fear, Fear, Neutral, Greed, Extreme Greed) and numeric score (0–100), spanning 1 Feb 2018 to 2 May 2025.</w:t>
      </w:r>
    </w:p>
    <w:p>
      <w:pPr>
        <w:pStyle w:val="Heading2"/>
        <w:spacing w:after="120" w:before="240"/>
      </w:pPr>
      <w:r>
        <w:t xml:space="preserve">1.3 Data Cleaning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Checked for and removed exact duplicate rows in both datasets (none found).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Parsed trade timestamps (DD-MM-YYYY HH:MM) and sentiment dates into proper datetime objects.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Verified no missing values in either dataset and validated non-negative price/size ranges.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Derived a day-level trade_date field from the trade timestamp for merging with the daily sentiment index.</w:t>
      </w:r>
    </w:p>
    <w:p>
      <w:pPr>
        <w:pStyle w:val="Heading2"/>
        <w:spacing w:after="120" w:before="240"/>
      </w:pPr>
      <w:r>
        <w:t xml:space="preserve">1.4 Merging</w:t>
      </w:r>
    </w:p>
    <w:p>
      <w:pPr>
        <w:spacing w:after="160"/>
      </w:pPr>
      <w:r>
        <w:t xml:space="preserve">Each trade was left-joined to the sentiment table on trade_date = date. Of 211,224 trades, only 6 (0.003%) had no matching sentiment record and were dropped — confirming near-complete date coverage.</w:t>
      </w:r>
    </w:p>
    <w:p>
      <w:pPr>
        <w:pStyle w:val="Heading2"/>
        <w:spacing w:after="120" w:before="240"/>
      </w:pPr>
      <w:r>
        <w:t xml:space="preserve">1.5 Key Definitions &amp; Assumptions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Win rate and average PnL/trade are computed on closed trades only (Closed PnL ≠ 0). Trade-opening executions (~50.6% of rows) carry zero realized PnL by construction and are excluded from these two metrics, but included in trade-count and position-size metrics.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explicit leverage column exists in the source data. Size USD (notional trade value) is used throughout as a position-size / exposure proxy, and this substitution is flagged wherever leverage is discussed.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Exploratory Data Analysis</w:t>
      </w:r>
    </w:p>
    <w:p>
      <w:pPr>
        <w:pStyle w:val="Heading2"/>
        <w:spacing w:after="120" w:before="240"/>
      </w:pPr>
      <w:r>
        <w:t xml:space="preserve">2.1 Distribution of Market Sentiment</w:t>
      </w:r>
    </w:p>
    <w:p>
      <w:pPr>
        <w:spacing w:after="160"/>
      </w:pPr>
      <w:r>
        <w:t xml:space="preserve">Trading activity is not evenly spread across sentiment regimes: Fear days account for the largest share of trades (61,837), followed by Greed (50,303) and Extreme Greed (39,992), with Extreme Fear the least-traded regime (21,400 trades).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532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1. Calendar days vs. trades by sentiment regime.</w:t>
      </w:r>
    </w:p>
    <w:p>
      <w:pPr>
        <w:pStyle w:val="Heading2"/>
        <w:spacing w:after="120" w:before="240"/>
      </w:pPr>
      <w:r>
        <w:t xml:space="preserve">2.2 Sentiment-wise Performance Summary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400"/>
        <w:gridCol w:w="1500"/>
        <w:gridCol w:w="1100"/>
        <w:gridCol w:w="1600"/>
      </w:tblGrid>
      <w:tr>
        <w:trPr>
          <w:tblHeader/>
        </w:trPr>
        <w:tc>
          <w:tcPr>
            <w:tcW w:type="dxa" w:w="15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3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Trades</w:t>
            </w:r>
          </w:p>
        </w:tc>
        <w:tc>
          <w:tcPr>
            <w:tcW w:type="dxa" w:w="13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Closed Trades</w:t>
            </w:r>
          </w:p>
        </w:tc>
        <w:tc>
          <w:tcPr>
            <w:tcW w:type="dxa" w:w="14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PnL/Trade</w:t>
            </w:r>
          </w:p>
        </w:tc>
        <w:tc>
          <w:tcPr>
            <w:tcW w:type="dxa" w:w="15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PnL</w:t>
            </w:r>
          </w:p>
        </w:tc>
        <w:tc>
          <w:tcPr>
            <w:tcW w:type="dxa" w:w="11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6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Position Size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Fear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21,400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10,406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$71.03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$739,110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76.2%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$5,349.73</w:t>
            </w:r>
          </w:p>
        </w:tc>
      </w:tr>
      <w:tr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Fear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61,837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29,808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$112.63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$3,357,155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87.3%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$7,816.11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37,686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18,159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$71.20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$1,292,921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82.4%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$4,782.73</w:t>
            </w:r>
          </w:p>
        </w:tc>
      </w:tr>
      <w:tr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Greed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50,303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25,176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$85.40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$2,150,129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76.9%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$5,736.88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Greed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39,992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20,853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$130.21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$2,715,171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89.2%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$3,112.25</w:t>
            </w:r>
          </w:p>
        </w:tc>
      </w:tr>
    </w:tbl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3221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2. Average closed PnL per trade by sentiment.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21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3. Win rate of closed trades by sentiment.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937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4. Distribution of closed PnL by sentiment (1st–99th percentile).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2.3 Position Size (Leverage Proxy) &amp; Buy/Sell Behavior</w:t>
      </w:r>
    </w:p>
    <w:p>
      <w:pPr>
        <w:spacing w:after="160"/>
      </w:pPr>
      <w:r>
        <w:t xml:space="preserve">Position size behaves inversely to performance: traders take their largest average positions in Fear ($7,816) and their smallest in Extreme Greed ($3,112), despite Extreme Greed being the best-performing regime by both win rate and average PnL.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937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5. Position size distribution by sentiment (proxy for leverage/exposure).</w:t>
      </w:r>
    </w:p>
    <w:p>
      <w:pPr>
        <w:spacing w:after="160"/>
      </w:pPr>
      <w:r>
        <w:t xml:space="preserve">Buy share falls steadily from 51.1% in Extreme Fear to 44.9% in Extreme Greed, with Sell share rising from 48.9% to 55.1% — consistent with profit-taking into strength rather than momentum-chasing.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937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6. Buy vs. Sell mix by sentiment.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2.4 Symbol-Level Analysis</w:t>
      </w:r>
    </w:p>
    <w:p>
      <w:pPr>
        <w:spacing w:after="160"/>
      </w:pPr>
      <w:r>
        <w:t xml:space="preserve">HYPE, the @107 index, BTC, ETH and SOL are the five most-traded symbols overall.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267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7. Top 15 most-traded symbols (all sentiments).</w:t>
      </w:r>
    </w:p>
    <w:p>
      <w:pPr>
        <w:pStyle w:val="Heading2"/>
        <w:spacing w:after="120" w:before="240"/>
      </w:pPr>
      <w:r>
        <w:t xml:space="preserve">Best-Performing Symbol per Sentiment (min. 30 closed trades)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400"/>
        <w:gridCol w:w="1600"/>
      </w:tblGrid>
      <w:tr>
        <w:trPr>
          <w:tblHeader/>
        </w:trPr>
        <w:tc>
          <w:tcPr>
            <w:tcW w:type="dxa" w:w="17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5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2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4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PnL</w:t>
            </w:r>
          </w:p>
        </w:tc>
        <w:tc>
          <w:tcPr>
            <w:tcW w:type="dxa" w:w="16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PnL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Fear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TRUMP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$421.84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$31,638.04</w:t>
            </w:r>
          </w:p>
        </w:tc>
      </w:tr>
      <w:tr>
        <w:tc>
          <w:tcPr>
            <w:tcW w:type="dxa" w:w="1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Fear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$1,705.49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$160,316.23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MELANIA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$412.98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$41,298.45</w:t>
            </w:r>
          </w:p>
        </w:tc>
      </w:tr>
      <w:tr>
        <w:tc>
          <w:tcPr>
            <w:tcW w:type="dxa" w:w="1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Greed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$890.91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$451,690.01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Greed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@107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6,341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$313.61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$1,988,618.87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Worst-Performing Symbol per Sentiment (min. 30 closed trades)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400"/>
        <w:gridCol w:w="1600"/>
      </w:tblGrid>
      <w:tr>
        <w:trPr>
          <w:tblHeader/>
        </w:trPr>
        <w:tc>
          <w:tcPr>
            <w:tcW w:type="dxa" w:w="17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5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2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4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PnL</w:t>
            </w:r>
          </w:p>
        </w:tc>
        <w:tc>
          <w:tcPr>
            <w:tcW w:type="dxa" w:w="1600"/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PnL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Fear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FARTCOIN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-$419.50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-$138,014.11</w:t>
            </w:r>
          </w:p>
        </w:tc>
      </w:tr>
      <w:tr>
        <w:tc>
          <w:tcPr>
            <w:tcW w:type="dxa" w:w="1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Fear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KAITO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-$215.95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-$14,900.55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-$423.86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-$21,617.08</w:t>
            </w:r>
          </w:p>
        </w:tc>
      </w:tr>
      <w:tr>
        <w:tc>
          <w:tcPr>
            <w:tcW w:type="dxa" w:w="1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Greed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TRUMP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369</w:t>
            </w:r>
          </w:p>
        </w:tc>
        <w:tc>
          <w:tcPr>
            <w:tcW w:type="dxa" w:w="1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-$1,173.21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-$432,914.84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 Greed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MELANIA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-$125.68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-$18,726.17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634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8. Average PnL by symbol × sentiment (top 10 traded symbols, min. 30 trades).</w:t>
      </w:r>
    </w:p>
    <w:p>
      <w:pPr>
        <w:pStyle w:val="Heading2"/>
        <w:spacing w:after="120" w:before="240"/>
      </w:pPr>
      <w:r>
        <w:t xml:space="preserve">2.5 Correlation &amp; Hidden Patterns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8244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9. Correlation heatmap of numeric trade features and sentiment score.</w:t>
      </w:r>
    </w:p>
    <w:p>
      <w:r>
        <w:br w:type="page"/>
      </w:r>
    </w:p>
    <w:p>
      <w:pPr>
        <w:spacing w:after="160"/>
      </w:pPr>
      <w:r>
        <w:t xml:space="preserve">The correlation between the daily sentiment score and same-day aggregate closed PnL is only -0.098 — essentially negligible — confirming that sentiment is a weak same-day directional signal even though the regime-level averages differ meaningfully.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43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10. Daily aggregate PnL vs. sentiment score.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937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11. Distribution of individual trader win rates by sentiment (traders with ≥10 closed trades).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Business Insights &amp; Hidden Patterns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1. Performance is U-shaped, not linear, across sentiment.</w:t>
      </w:r>
    </w:p>
    <w:p>
      <w:pPr>
        <w:spacing w:after="160"/>
      </w:pPr>
      <w:r>
        <w:t xml:space="preserve">Win rate and avg PnL/trade are lowest in Extreme Fear (76.2% / $71.03) and highest in Extreme Greed (89.2% / $130.21), with Fear a strong second-best regime (87.3%) — the cohort performs best at emotional extremes (Fear and Extreme Greed), not steadily from fear to greed.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2. Traders size up exactly where their edge is weakest.</w:t>
      </w:r>
    </w:p>
    <w:p>
      <w:pPr>
        <w:spacing w:after="160"/>
      </w:pPr>
      <w:r>
        <w:t xml:space="preserve">Average position size is largest in Fear ($7,816) and Extreme Fear ($5,350) — the two weakest-performing regimes by PnL/trade — and smallest in Extreme Greed ($3,112), the best-performing regime.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3. Selling pressure rises steadily as euphoria builds.</w:t>
      </w:r>
    </w:p>
    <w:p>
      <w:pPr>
        <w:spacing w:after="160"/>
      </w:pPr>
      <w:r>
        <w:t xml:space="preserve">Buy share falls from 51.1% (Extreme Fear) to 44.9% (Extreme Greed); Sell share rises from 48.9% to 55.1% — a constructive, disciplined profit-taking pattern.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4. Sentiment score is a weak daily PnL predictor.</w:t>
      </w:r>
    </w:p>
    <w:p>
      <w:pPr>
        <w:spacing w:after="160"/>
      </w:pPr>
      <w:r>
        <w:t xml:space="preserve">Same-day correlation between sentiment score and aggregate PnL is only -0.098, so sentiment works better as a multi-day regime overlay than a daily directional trigger.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5. Extreme Greed's strong result is concentrated in one symbol.</w:t>
      </w:r>
    </w:p>
    <w:p>
      <w:pPr>
        <w:spacing w:after="160"/>
      </w:pPr>
      <w:r>
        <w:t xml:space="preserve">The coin @107 accounts for 6,341 of Extreme Greed's closed trades and ~$1.99M of its ~$2.72M total PnL (~73%) — the regime-level average is not broad-based.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6. Meme/narrative tokens are the consistent worst performers.</w:t>
      </w:r>
    </w:p>
    <w:p>
      <w:pPr>
        <w:spacing w:after="160"/>
      </w:pPr>
      <w:r>
        <w:t xml:space="preserve">TRUMP, FARTCOIN, MELANIA, BERA and KAITO were the single worst-performing symbol in every sentiment regime, while liquid names like SOL and ENA topped the best-performer list — a pattern independent of market mood.</w:t>
      </w:r>
    </w:p>
    <w:p>
      <w:pPr>
        <w:spacing w:after="60" w:before="180"/>
      </w:pPr>
      <w:r>
        <w:rPr>
          <w:b/>
          <w:bCs/>
          <w:color w:val="1B3A5C"/>
          <w:sz w:val="22"/>
          <w:szCs w:val="22"/>
        </w:rPr>
        <w:t xml:space="preserve">7. The pattern holds at the individual trader level.</w:t>
      </w:r>
    </w:p>
    <w:p>
      <w:pPr>
        <w:spacing w:after="160"/>
      </w:pPr>
      <w:r>
        <w:t xml:space="preserve">Median per-trader win rate (traders with ≥10 closed trades in a regime) rises from 82.3% in Extreme Fear to 93.8% in Extreme Greed, confirming this is a cohort-wide behavioral pattern, not a pooling artifact from a few large accounts.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Trading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Treat Extreme Fear as the highest-risk regime, not a default buying opportunity. It has the lowest win rate (76.2%) and lowest avg PnL/trade ($71.03), yet the second-largest average position size. Cap size/leverage in this regime until a separate, regime-specific edge is validated.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Align position sizing with realized, regime-specific edge. Scale size up in regimes with demonstrated higher win rate/PnL (Fear, Extreme Greed) and down in the weakest regime (Extreme Fear) — the reverse of the current pattern.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Formalize the existing profit-taking discipline into strength. The natural rise in Sell% through Greed → Extreme Greed is healthy; codify it as a staged de-risking schedule tied to Fear &amp; Greed index thresholds.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Don't trade the sentiment index directly as a daily signal. With a same-day correlation of only -0.098, use sentiment as a regime/risk-sizing overlay (weeks-scale), not a directional entry trigger (day-scale).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Apply tighter risk controls to meme/narrative-coin trades regardless of sentiment. TRUMP, FARTCOIN, MELANIA, BERA and KAITO were the worst performer in their respective regimes — the TRUMP cohort alone lost -$432,915 during Greed.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Investigate the @107 concentration before trusting the “Extreme Greed = best regime” conclusion, since one symbol drives ~73% of that regime's total PnL.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Operationalize the Symbol × Sentiment heatmap (Figure 8) as a live pre-trade checklist so traders can see at a glance whether a coin has historically performed well or poorly in the current sentiment regime.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Limitations &amp; Assumptions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explicit leverage column exists in the source data; Size USD was used as an exposure/position-size proxy throughout. True leverage (position size ÷ margin/collateral) may tell a different story.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Small, concentrated trader base: only 32 unique accounts. The very high win rates (76–89%) likely reflect a non-representative, possibly semi-professional or market-making cohort rather than retail behavior broadly, and should not be generalized without further validation.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Symbol concentration: regime-level averages can be dominated by a handful of high-volume symbols/accounts (e.g., @107 in Extreme Greed); regime comparisons should be read alongside the symbol-level breakdown.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Win rate is defined on closed trades only (Closed PnL ≠ 0); opening executions (~50.6% of rows) are excluded from win-rate/PnL-per-trade calculations but included in trade-count and size metrics.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Sentiment is applied at daily granularity (one classification per calendar day); intraday sentiment shifts are not captured.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Conclusion</w:t>
      </w:r>
    </w:p>
    <w:p>
      <w:pPr>
        <w:spacing w:after="160"/>
      </w:pPr>
      <w:r>
        <w:t xml:space="preserve">Market sentiment is meaningfully related to this trader cohort's performance, but not in the direction commonly assumed. Instead of a linear “fear = losses, greed = gains” relationship, performance is U-shaped across the sentiment spectrum, and the biggest actionable risk is a mismatch between position sizing and demonstrated edge — traders bet largest where they perform worst. Combined with a consistent drag from narrative/meme-coin exposure and a weak same-day sentiment–PnL correlation, the data supports using the Fear &amp; Greed Index as a regime-level risk-sizing overlay — paired with disciplined, edge-aware position sizing and symbol selection — rather than as a standalone directional trading signal.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Trader Performance vs. Market Sentiment | Internship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FA052" w:sz="6"/>
      </w:pBdr>
      <w:spacing w:after="150" w:before="30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ec49b14e267532438751faa1d55bfe9cd8e13f.png"/><Relationship Id="rId10" Type="http://schemas.openxmlformats.org/officeDocument/2006/relationships/image" Target="media/86eac12cec7ac67e399efb55c253926756af1848.png"/><Relationship Id="rId11" Type="http://schemas.openxmlformats.org/officeDocument/2006/relationships/image" Target="media/94ac1244bf9dc9311caddc831b9ddc3c293fbe1b.png"/><Relationship Id="rId12" Type="http://schemas.openxmlformats.org/officeDocument/2006/relationships/image" Target="media/b33aacc4ee07f599b4c854635365f9e9bdb454e3.png"/><Relationship Id="rId13" Type="http://schemas.openxmlformats.org/officeDocument/2006/relationships/image" Target="media/661a0c915fd2e4c882b3c0d9687421d46c573f40.png"/><Relationship Id="rId14" Type="http://schemas.openxmlformats.org/officeDocument/2006/relationships/image" Target="media/4a33e9e1f954331777b9923ac748d97a4fed7b9b.png"/><Relationship Id="rId15" Type="http://schemas.openxmlformats.org/officeDocument/2006/relationships/image" Target="media/f991278f90e272d154ade8c9a0eb67cc31278858.png"/><Relationship Id="rId16" Type="http://schemas.openxmlformats.org/officeDocument/2006/relationships/image" Target="media/c93f5e812ea3d65a70329c62181830862cf059ad.png"/><Relationship Id="rId17" Type="http://schemas.openxmlformats.org/officeDocument/2006/relationships/image" Target="media/f96eedb8519d01ce38b51fbcddadde9cf8ff34a5.png"/><Relationship Id="rId18" Type="http://schemas.openxmlformats.org/officeDocument/2006/relationships/image" Target="media/9ec830de3f5a7813b4ab32896fcf1a449d02942e.png"/><Relationship Id="rId19" Type="http://schemas.openxmlformats.org/officeDocument/2006/relationships/image" Target="media/ac17c8b4476dca7a2d56dad4f812a4f70ffc1be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2026-07-03T20:00:52.738Z</dcterms:created>
  <dcterms:modified xsi:type="dcterms:W3CDTF">2026-07-03T20:00:52.738Z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