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5A6472"/>
          <w:sz w:val="20"/>
          <w:szCs w:val="20"/>
        </w:rPr>
        <w:t xml:space="preserve">DELIVERY PLAN</w:t>
      </w:r>
    </w:p>
    <w:p>
      <w:pPr>
        <w:spacing w:after="80"/>
      </w:pPr>
      <w:r>
        <w:rPr>
          <w:rFonts w:ascii="Arial" w:cs="Arial" w:eastAsia="Arial" w:hAnsi="Arial"/>
          <w:b/>
          <w:bCs/>
          <w:color w:val="1B3A5C"/>
          <w:sz w:val="38"/>
          <w:szCs w:val="38"/>
        </w:rPr>
        <w:t xml:space="preserve">Next-Gen Childcare Management &amp; Family Experience Platform</w:t>
      </w:r>
    </w:p>
    <w:p>
      <w:pPr>
        <w:pBdr>
          <w:bottom w:val="single" w:color="1B3A5C" w:sz="8" w:space="6"/>
        </w:pBdr>
        <w:spacing w:after="200"/>
      </w:pPr>
      <w:r>
        <w:rPr>
          <w:rFonts w:ascii="Arial" w:cs="Arial" w:eastAsia="Arial" w:hAnsi="Arial"/>
          <w:color w:val="5A6472"/>
          <w:sz w:val="20"/>
          <w:szCs w:val="20"/>
        </w:rPr>
        <w:t xml:space="preserve">How to build a production-grade release of BRD v2.1  |  Prepared 2 October 2026  |  Updated 11 October 2026 (section 14: competitor USP review; section 13: OWNA gap analysis)</w:t>
      </w:r>
    </w:p>
    <w:p>
      <w:pPr>
        <w:pStyle w:val="Heading1"/>
        <w:spacing w:after="140" w:before="320"/>
      </w:pPr>
      <w:r>
        <w:rPr>
          <w:rFonts w:ascii="Arial" w:cs="Arial" w:eastAsia="Arial" w:hAnsi="Arial"/>
          <w:b/>
          <w:bCs/>
          <w:color w:val="1B3A5C"/>
          <w:sz w:val="30"/>
          <w:szCs w:val="30"/>
        </w:rPr>
        <w:t xml:space="preserve">1. Summary</w:t>
      </w:r>
    </w:p>
    <w:p>
      <w:pPr>
        <w:spacing w:after="120" w:line="276"/>
      </w:pPr>
      <w:r>
        <w:rPr>
          <w:rFonts w:ascii="Arial" w:cs="Arial" w:eastAsia="Arial" w:hAnsi="Arial"/>
          <w:sz w:val="20"/>
          <w:szCs w:val="20"/>
        </w:rPr>
        <w:t xml:space="preserve">This plan turns BRD v2.1 into a build sequence. The scope decisions that shape it are: full billing, payments and CCS integration are in Phase 1; ratios and rostering are Phase 2; hosting is Australian; and data migration is not in the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line="264"/>
            </w:pPr>
            <w:r>
              <w:rPr>
                <w:rFonts w:ascii="Arial" w:cs="Arial" w:eastAsia="Arial" w:hAnsi="Arial"/>
                <w:b/>
                <w:bCs/>
                <w:sz w:val="20"/>
                <w:szCs w:val="20"/>
              </w:rPr>
              <w:t xml:space="preserve">The headline: </w:t>
            </w:r>
            <w:r>
              <w:rPr>
                <w:rFonts w:ascii="Arial" w:cs="Arial" w:eastAsia="Arial" w:hAnsi="Arial"/>
                <w:sz w:val="20"/>
                <w:szCs w:val="20"/>
              </w:rPr>
              <w:t xml:space="preserve">the product is not hard because of its screens. It is hard because of five things that must be designed first and tested continuously: </w:t>
            </w:r>
            <w:r>
              <w:rPr>
                <w:rFonts w:ascii="Arial" w:cs="Arial" w:eastAsia="Arial" w:hAnsi="Arial"/>
                <w:b/>
                <w:bCs/>
                <w:sz w:val="20"/>
                <w:szCs w:val="20"/>
              </w:rPr>
              <w:t xml:space="preserve">offline sync, child-data access control, notification reliability, a correct money ledger, and CCS registration.</w:t>
            </w:r>
            <w:r>
              <w:rPr>
                <w:rFonts w:ascii="Arial" w:cs="Arial" w:eastAsia="Arial" w:hAnsi="Arial"/>
                <w:sz w:val="20"/>
                <w:szCs w:val="20"/>
              </w:rPr>
              <w:t xml:space="preserve"> Moving billing into Phase 1 roughly doubled the risk of the MVP, so this plan runs two squads in parallel and starts CCS registration in week 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Item</w:t>
            </w:r>
          </w:p>
        </w:tc>
        <w:tc>
          <w:tcPr>
            <w:tcW w:type="dxa" w:w="77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Plan</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Modular monolith (single deployable, strict module boundaries), PostgreSQL with row-level security, queue-based async workers, AWS Sydney (ap-southeast-2) with Melbourne for DR.</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duration</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About 13–14 months from kickoff to general availability, including a 6–8 week pilot. The swing factor is CCS registration, which is outside the team's control.</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 duration</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About 6–7 months after GA: learning, enrolment, staff compliance, ratios and rostering.</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Team</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About 15–17 people in Phase 1, organised as Platform, Care and Money squads.</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Effort (rough)</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160–210 person-months. Phase 2: 70–95 person-months. Order of magnitude only; see section 11.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First 30 days</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Close open items, begin CCS registration, domain model and sync design, prototypes, repos and CI/CD (section 12).</w:t>
            </w:r>
          </w:p>
        </w:tc>
      </w:tr>
    </w:tbl>
    <w:p>
      <w:pPr>
        <w:spacing w:after="80"/>
      </w:pPr>
    </w:p>
    <w:p>
      <w:pPr>
        <w:pStyle w:val="Heading1"/>
        <w:spacing w:after="140" w:before="320"/>
      </w:pPr>
      <w:r>
        <w:rPr>
          <w:rFonts w:ascii="Arial" w:cs="Arial" w:eastAsia="Arial" w:hAnsi="Arial"/>
          <w:b/>
          <w:bCs/>
          <w:color w:val="1B3A5C"/>
          <w:sz w:val="30"/>
          <w:szCs w:val="30"/>
        </w:rPr>
        <w:t xml:space="preserve">2. Assumptions and decisions this plan relies on</w:t>
      </w:r>
    </w:p>
    <w:p>
      <w:pPr>
        <w:pStyle w:val="ListParagraph"/>
        <w:numPr>
          <w:ilvl w:val="0"/>
          <w:numId w:val="2"/>
        </w:numPr>
        <w:spacing w:after="60" w:line="264"/>
      </w:pPr>
      <w:r>
        <w:rPr>
          <w:rFonts w:ascii="Arial" w:cs="Arial" w:eastAsia="Arial" w:hAnsi="Arial"/>
          <w:sz w:val="20"/>
          <w:szCs w:val="20"/>
        </w:rPr>
        <w:t xml:space="preserve">BRD v2.1 scope is frozen for planning. Open items OI-01 to OI-08 (Appendix C of the BRD) are resolved on the dates in section 12.</w:t>
      </w:r>
    </w:p>
    <w:p>
      <w:pPr>
        <w:pStyle w:val="ListParagraph"/>
        <w:numPr>
          <w:ilvl w:val="0"/>
          <w:numId w:val="2"/>
        </w:numPr>
        <w:spacing w:after="60" w:line="264"/>
      </w:pPr>
      <w:r>
        <w:rPr>
          <w:rFonts w:ascii="Arial" w:cs="Arial" w:eastAsia="Arial" w:hAnsi="Arial"/>
          <w:sz w:val="20"/>
          <w:szCs w:val="20"/>
        </w:rPr>
        <w:t xml:space="preserve">Performance, RPO/RTO and accessibility targets are still TBC. Until agreed, the plan uses working defaults: p95 API under 500 ms, RPO 15 minutes, RTO 4 hours, WCAG 2.2 AA. Change them when the BRD values land.</w:t>
      </w:r>
    </w:p>
    <w:p>
      <w:pPr>
        <w:pStyle w:val="ListParagraph"/>
        <w:numPr>
          <w:ilvl w:val="0"/>
          <w:numId w:val="2"/>
        </w:numPr>
        <w:spacing w:after="60" w:line="264"/>
      </w:pPr>
      <w:r>
        <w:rPr>
          <w:rFonts w:ascii="Arial" w:cs="Arial" w:eastAsia="Arial" w:hAnsi="Arial"/>
          <w:sz w:val="20"/>
          <w:szCs w:val="20"/>
        </w:rPr>
        <w:t xml:space="preserve">Mobile apps are built on one cross-platform codebase (two apps: parent and educator). If the team prefers fully native, add roughly 20–25% to mobile effort.</w:t>
      </w:r>
    </w:p>
    <w:p>
      <w:pPr>
        <w:pStyle w:val="ListParagraph"/>
        <w:numPr>
          <w:ilvl w:val="0"/>
          <w:numId w:val="2"/>
        </w:numPr>
        <w:spacing w:after="60" w:line="264"/>
      </w:pPr>
      <w:r>
        <w:rPr>
          <w:rFonts w:ascii="Arial" w:cs="Arial" w:eastAsia="Arial" w:hAnsi="Arial"/>
          <w:sz w:val="20"/>
          <w:szCs w:val="20"/>
        </w:rPr>
        <w:t xml:space="preserve">There is no real child data outside production. Staging uses anonymised or synthetic data.</w:t>
      </w:r>
    </w:p>
    <w:p>
      <w:pPr>
        <w:pStyle w:val="ListParagraph"/>
        <w:numPr>
          <w:ilvl w:val="0"/>
          <w:numId w:val="2"/>
        </w:numPr>
        <w:spacing w:after="60" w:line="264"/>
      </w:pPr>
      <w:r>
        <w:rPr>
          <w:rFonts w:ascii="Arial" w:cs="Arial" w:eastAsia="Arial" w:hAnsi="Arial"/>
          <w:sz w:val="20"/>
          <w:szCs w:val="20"/>
        </w:rPr>
        <w:t xml:space="preserve">CCS onboarding details have not been verified here. The Department of Education's registered child care software page is the starting point, and the team must confirm the current steps, timelines and testing requirements directly with the Department and Services Australia.</w:t>
      </w:r>
    </w:p>
    <w:p>
      <w:pPr>
        <w:pStyle w:val="Heading1"/>
        <w:spacing w:after="140" w:before="320"/>
      </w:pPr>
      <w:r>
        <w:rPr>
          <w:rFonts w:ascii="Arial" w:cs="Arial" w:eastAsia="Arial" w:hAnsi="Arial"/>
          <w:b/>
          <w:bCs/>
          <w:color w:val="1B3A5C"/>
          <w:sz w:val="30"/>
          <w:szCs w:val="30"/>
        </w:rPr>
        <w:t xml:space="preserve">3. Phase 1 roadmap (months)</w:t>
      </w:r>
    </w:p>
    <w:p>
      <w:pPr>
        <w:spacing w:after="120" w:line="276"/>
      </w:pPr>
      <w:r>
        <w:rPr>
          <w:rFonts w:ascii="Arial" w:cs="Arial" w:eastAsia="Arial" w:hAnsi="Arial"/>
          <w:sz w:val="20"/>
          <w:szCs w:val="20"/>
        </w:rPr>
        <w:t xml:space="preserve">Phase 1 is delivered as overlapping release trains rather than one big build. Each train ends in something running on real devices that a friendly centre can look 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17"/>
        <w:gridCol w:w="517"/>
        <w:gridCol w:w="517"/>
        <w:gridCol w:w="517"/>
        <w:gridCol w:w="517"/>
        <w:gridCol w:w="517"/>
        <w:gridCol w:w="517"/>
        <w:gridCol w:w="517"/>
        <w:gridCol w:w="517"/>
        <w:gridCol w:w="517"/>
        <w:gridCol w:w="517"/>
        <w:gridCol w:w="517"/>
        <w:gridCol w:w="517"/>
        <w:gridCol w:w="517"/>
      </w:tblGrid>
      <w:tr>
        <w:trPr>
          <w:tblHeader/>
        </w:trPr>
        <w:tc>
          <w:tcPr>
            <w:tcW w:type="dxa" w:w="2400"/>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left"/>
            </w:pPr>
            <w:r>
              <w:rPr>
                <w:rFonts w:ascii="Arial" w:cs="Arial" w:eastAsia="Arial" w:hAnsi="Arial"/>
                <w:b/>
                <w:bCs/>
                <w:color w:val="FFFFFF"/>
                <w:sz w:val="15"/>
                <w:szCs w:val="15"/>
              </w:rPr>
              <w:t xml:space="preserve">Workstream</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M2</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M3</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M4</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M5</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M6</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M7</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M8</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M9</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M10</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M11</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M12</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M13</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M14</w:t>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Discovery, design, prototypes</w:t>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B3A5C"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CCS registration &amp; conformance</w:t>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7A8FA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R0 Foundations</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R1 Care loop (attendance, care logs, offline, media)</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R2 Family &amp; safety (messaging, forms, medication, incidents)</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2E75B6"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R3 Money (fees, invoices, ledger, payments)</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R4 CCS integration build &amp; test</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B45309"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R5 Hardening, pen test, load test</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4B5563"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4B5563"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Pilot (2–3 centres)</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5803D"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5803D"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5803D"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r>
      <w:tr>
        <w:trPr>
          <w:cantSplit/>
        </w:trPr>
        <w:tc>
          <w:tcPr>
            <w:tcW w:type="dxa" w:w="2400"/>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left"/>
            </w:pPr>
            <w:r>
              <w:rPr>
                <w:rFonts w:ascii="Arial" w:cs="Arial" w:eastAsia="Arial" w:hAnsi="Arial"/>
                <w:b w:val="false"/>
                <w:bCs w:val="false"/>
                <w:color w:val="1F2937"/>
                <w:sz w:val="15"/>
                <w:szCs w:val="15"/>
              </w:rPr>
              <w:t xml:space="preserve">General availability</w:t>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FFFFFF"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5803D"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
            </w:r>
          </w:p>
        </w:tc>
        <w:tc>
          <w:tcPr>
            <w:tcW w:type="dxa" w:w="517"/>
            <w:tcBorders>
              <w:top w:val="single" w:color="D5DBE3" w:sz="4"/>
              <w:left w:val="single" w:color="D5DBE3" w:sz="4"/>
              <w:bottom w:val="single" w:color="D5DBE3" w:sz="4"/>
              <w:right w:val="single" w:color="D5DBE3" w:sz="4"/>
            </w:tcBorders>
            <w:shd w:fill="15803D" w:color="auto" w:val="clear"/>
            <w:tcMar>
              <w:top w:type="dxa" w:w="60"/>
              <w:left w:type="dxa" w:w="60"/>
              <w:bottom w:type="dxa" w:w="60"/>
              <w:right w:type="dxa" w:w="60"/>
            </w:tcMar>
          </w:tcPr>
          <w:p>
            <w:pPr>
              <w:spacing w:after="0"/>
              <w:jc w:val="center"/>
            </w:pPr>
            <w:r>
              <w:rPr>
                <w:rFonts w:ascii="Arial" w:cs="Arial" w:eastAsia="Arial" w:hAnsi="Arial"/>
                <w:b/>
                <w:bCs/>
                <w:color w:val="FFFFFF"/>
                <w:sz w:val="15"/>
                <w:szCs w:val="15"/>
              </w:rPr>
              <w:t xml:space="preserve">GA</w:t>
            </w:r>
          </w:p>
        </w:tc>
      </w:tr>
    </w:tbl>
    <w:p>
      <w:pPr>
        <w:spacing w:after="80"/>
      </w:pPr>
    </w:p>
    <w:p>
      <w:pPr>
        <w:spacing w:after="120" w:line="276"/>
      </w:pPr>
      <w:r>
        <w:rPr>
          <w:rFonts w:ascii="Arial" w:cs="Arial" w:eastAsia="Arial" w:hAnsi="Arial"/>
          <w:color w:val="5A6472"/>
          <w:sz w:val="18"/>
          <w:szCs w:val="18"/>
        </w:rPr>
        <w:t xml:space="preserve">Blue = care workflows. Amber = billing and CCS. Grey = compliance and hardening. Green = pilot and launch. The month ranges are indicative and assume the team is in place by month 2.</w:t>
      </w:r>
    </w:p>
    <w:p>
      <w:pPr>
        <w:pStyle w:val="Heading2"/>
        <w:spacing w:after="100" w:before="220"/>
      </w:pPr>
      <w:r>
        <w:rPr>
          <w:rFonts w:ascii="Arial" w:cs="Arial" w:eastAsia="Arial" w:hAnsi="Arial"/>
          <w:b/>
          <w:bCs/>
          <w:color w:val="1B3A5C"/>
          <w:sz w:val="24"/>
          <w:szCs w:val="24"/>
        </w:rPr>
        <w:t xml:space="preserve">Gates between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638"/>
        <w:gridCol w:w="5590"/>
      </w:tblGrid>
      <w:tr>
        <w:trPr>
          <w:tblHeader/>
        </w:trPr>
        <w:tc>
          <w:tcPr>
            <w:tcW w:type="dxa" w:w="24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Gate</w:t>
            </w:r>
          </w:p>
        </w:tc>
        <w:tc>
          <w:tcPr>
            <w:tcW w:type="dxa" w:w="16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When</w:t>
            </w:r>
          </w:p>
        </w:tc>
        <w:tc>
          <w:tcPr>
            <w:tcW w:type="dxa" w:w="559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Must be true to pass</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G0 Scope &amp; design sign-off</w:t>
            </w:r>
          </w:p>
        </w:tc>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End of month 2</w:t>
            </w:r>
          </w:p>
        </w:tc>
        <w:tc>
          <w:tcPr>
            <w:tcW w:type="dxa" w:w="559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 items closed; prototypes tested with real directors, educators and parents; domain model, sync design and threat model reviewed; CCS registration submitted.</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G1 Internal alpha</w:t>
            </w:r>
          </w:p>
        </w:tc>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 6</w:t>
            </w:r>
          </w:p>
        </w:tc>
        <w:tc>
          <w:tcPr>
            <w:tcW w:type="dxa" w:w="559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can run a full day offline on a real tablet (attendance, group logging, photos) and sync cleanly; parent sees it in Child at a Glance.</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G2 Closed beta</w:t>
            </w:r>
          </w:p>
        </w:tc>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 9</w:t>
            </w:r>
          </w:p>
        </w:tc>
        <w:tc>
          <w:tcPr>
            <w:tcW w:type="dxa" w:w="559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 incidents, messaging, forms, invoicing and payments working end to end in staging with test families.</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G3 Pilot readiness</w:t>
            </w:r>
          </w:p>
        </w:tc>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 11</w:t>
            </w:r>
          </w:p>
        </w:tc>
        <w:tc>
          <w:tcPr>
            <w:tcW w:type="dxa" w:w="559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conformance passed (or approved fallback in place); pen test critical and high findings fixed; DR restore drill completed; load test passed.</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G4 General availability</w:t>
            </w:r>
          </w:p>
        </w:tc>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 13–14</w:t>
            </w:r>
          </w:p>
        </w:tc>
        <w:tc>
          <w:tcPr>
            <w:tcW w:type="dxa" w:w="559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Pilot KPIs met (section 9); legal and privacy review signed off; support model and runbooks live.</w:t>
            </w:r>
          </w:p>
        </w:tc>
      </w:tr>
    </w:tbl>
    <w:p>
      <w:pPr>
        <w:spacing w:after="80"/>
      </w:pPr>
    </w:p>
    <w:p>
      <w:pPr>
        <w:pStyle w:val="Heading1"/>
        <w:spacing w:after="140" w:before="320"/>
      </w:pPr>
      <w:r>
        <w:rPr>
          <w:rFonts w:ascii="Arial" w:cs="Arial" w:eastAsia="Arial" w:hAnsi="Arial"/>
          <w:b/>
          <w:bCs/>
          <w:color w:val="1B3A5C"/>
          <w:sz w:val="30"/>
          <w:szCs w:val="30"/>
        </w:rPr>
        <w:t xml:space="preserve">4. Release trains in detail</w:t>
      </w:r>
    </w:p>
    <w:p>
      <w:pPr>
        <w:pStyle w:val="Heading2"/>
        <w:spacing w:after="100" w:before="220"/>
      </w:pPr>
      <w:r>
        <w:rPr>
          <w:rFonts w:ascii="Arial" w:cs="Arial" w:eastAsia="Arial" w:hAnsi="Arial"/>
          <w:b/>
          <w:bCs/>
          <w:color w:val="1B3A5C"/>
          <w:sz w:val="24"/>
          <w:szCs w:val="24"/>
        </w:rPr>
        <w:t xml:space="preserve">R0 Foundations (months 2–3)</w:t>
      </w:r>
    </w:p>
    <w:p>
      <w:pPr>
        <w:spacing w:after="120" w:line="276"/>
      </w:pPr>
      <w:r>
        <w:rPr>
          <w:rFonts w:ascii="Arial" w:cs="Arial" w:eastAsia="Arial" w:hAnsi="Arial"/>
          <w:sz w:val="20"/>
          <w:szCs w:val="20"/>
        </w:rPr>
        <w:t xml:space="preserve">Nothing user-visible, but everything depends on it. Do not start R1 and R3 feature work on top of an unfinished R0.</w:t>
      </w:r>
    </w:p>
    <w:p>
      <w:pPr>
        <w:pStyle w:val="ListParagraph"/>
        <w:numPr>
          <w:ilvl w:val="0"/>
          <w:numId w:val="2"/>
        </w:numPr>
        <w:spacing w:after="60" w:line="264"/>
      </w:pPr>
      <w:r>
        <w:rPr>
          <w:rFonts w:ascii="Arial" w:cs="Arial" w:eastAsia="Arial" w:hAnsi="Arial"/>
          <w:sz w:val="20"/>
          <w:szCs w:val="20"/>
        </w:rPr>
        <w:t xml:space="preserve">Repos, trunk-based workflow, CI/CD, infrastructure as code (Terraform), dev / test / staging / production in Australian regions.</w:t>
      </w:r>
    </w:p>
    <w:p>
      <w:pPr>
        <w:pStyle w:val="ListParagraph"/>
        <w:numPr>
          <w:ilvl w:val="0"/>
          <w:numId w:val="2"/>
        </w:numPr>
        <w:spacing w:after="60" w:line="264"/>
      </w:pPr>
      <w:r>
        <w:rPr>
          <w:rFonts w:ascii="Arial" w:cs="Arial" w:eastAsia="Arial" w:hAnsi="Arial"/>
          <w:sz w:val="20"/>
          <w:szCs w:val="20"/>
        </w:rPr>
        <w:t xml:space="preserve">Tenancy model: Organisation → Centre → Room → Child, with org_id and centre_id on every row, enforced by Postgres row-level security.</w:t>
      </w:r>
    </w:p>
    <w:p>
      <w:pPr>
        <w:pStyle w:val="ListParagraph"/>
        <w:numPr>
          <w:ilvl w:val="0"/>
          <w:numId w:val="2"/>
        </w:numPr>
        <w:spacing w:after="60" w:line="264"/>
      </w:pPr>
      <w:r>
        <w:rPr>
          <w:rFonts w:ascii="Arial" w:cs="Arial" w:eastAsia="Arial" w:hAnsi="Arial"/>
          <w:sz w:val="20"/>
          <w:szCs w:val="20"/>
        </w:rPr>
        <w:t xml:space="preserve">Identity: managed identity provider, MFA for staff and admins, biometric unlock on device, session policy.</w:t>
      </w:r>
    </w:p>
    <w:p>
      <w:pPr>
        <w:pStyle w:val="ListParagraph"/>
        <w:numPr>
          <w:ilvl w:val="0"/>
          <w:numId w:val="2"/>
        </w:numPr>
        <w:spacing w:after="60" w:line="264"/>
      </w:pPr>
      <w:r>
        <w:rPr>
          <w:rFonts w:ascii="Arial" w:cs="Arial" w:eastAsia="Arial" w:hAnsi="Arial"/>
          <w:sz w:val="20"/>
          <w:szCs w:val="20"/>
        </w:rPr>
        <w:t xml:space="preserve">Relationship-based access: guardian-to-child links with per-relationship permissions (media, pickup, billing) and restricted-guardian flags.</w:t>
      </w:r>
    </w:p>
    <w:p>
      <w:pPr>
        <w:pStyle w:val="ListParagraph"/>
        <w:numPr>
          <w:ilvl w:val="0"/>
          <w:numId w:val="2"/>
        </w:numPr>
        <w:spacing w:after="60" w:line="264"/>
      </w:pPr>
      <w:r>
        <w:rPr>
          <w:rFonts w:ascii="Arial" w:cs="Arial" w:eastAsia="Arial" w:hAnsi="Arial"/>
          <w:sz w:val="20"/>
          <w:szCs w:val="20"/>
        </w:rPr>
        <w:t xml:space="preserve">Central authorisation layer and an automated cross-family / cross-centre access test suite that runs on every build.</w:t>
      </w:r>
    </w:p>
    <w:p>
      <w:pPr>
        <w:pStyle w:val="ListParagraph"/>
        <w:numPr>
          <w:ilvl w:val="0"/>
          <w:numId w:val="2"/>
        </w:numPr>
        <w:spacing w:after="60" w:line="264"/>
      </w:pPr>
      <w:r>
        <w:rPr>
          <w:rFonts w:ascii="Arial" w:cs="Arial" w:eastAsia="Arial" w:hAnsi="Arial"/>
          <w:sz w:val="20"/>
          <w:szCs w:val="20"/>
        </w:rPr>
        <w:t xml:space="preserve">Append-only audit log service. Observability baseline (logs, metrics, traces, alerting, Sentry on apps).</w:t>
      </w:r>
    </w:p>
    <w:p>
      <w:pPr>
        <w:pStyle w:val="ListParagraph"/>
        <w:numPr>
          <w:ilvl w:val="0"/>
          <w:numId w:val="2"/>
        </w:numPr>
        <w:spacing w:after="60" w:line="264"/>
      </w:pPr>
      <w:r>
        <w:rPr>
          <w:rFonts w:ascii="Arial" w:cs="Arial" w:eastAsia="Arial" w:hAnsi="Arial"/>
          <w:sz w:val="20"/>
          <w:szCs w:val="20"/>
        </w:rPr>
        <w:t xml:space="preserve">Sync engine skeleton: local database, operation queue, idempotency keys, sync-state UI component.</w:t>
      </w:r>
    </w:p>
    <w:p>
      <w:pPr>
        <w:pStyle w:val="ListParagraph"/>
        <w:numPr>
          <w:ilvl w:val="0"/>
          <w:numId w:val="2"/>
        </w:numPr>
        <w:spacing w:after="60" w:line="264"/>
      </w:pPr>
      <w:r>
        <w:rPr>
          <w:rFonts w:ascii="Arial" w:cs="Arial" w:eastAsia="Arial" w:hAnsi="Arial"/>
          <w:sz w:val="20"/>
          <w:szCs w:val="20"/>
        </w:rPr>
        <w:t xml:space="preserve">Notification service skeleton: queue, APNs/FCM, delivery receipts.</w:t>
      </w:r>
    </w:p>
    <w:p>
      <w:pPr>
        <w:pStyle w:val="ListParagraph"/>
        <w:numPr>
          <w:ilvl w:val="0"/>
          <w:numId w:val="2"/>
        </w:numPr>
        <w:spacing w:after="60" w:line="264"/>
      </w:pPr>
      <w:r>
        <w:rPr>
          <w:rFonts w:ascii="Arial" w:cs="Arial" w:eastAsia="Arial" w:hAnsi="Arial"/>
          <w:sz w:val="20"/>
          <w:szCs w:val="20"/>
        </w:rPr>
        <w:t xml:space="preserve">Design system and component library shared by the three front ends.</w:t>
      </w:r>
    </w:p>
    <w:p>
      <w:pPr>
        <w:pStyle w:val="Heading2"/>
        <w:spacing w:after="100" w:before="220"/>
      </w:pPr>
      <w:r>
        <w:rPr>
          <w:rFonts w:ascii="Arial" w:cs="Arial" w:eastAsia="Arial" w:hAnsi="Arial"/>
          <w:b/>
          <w:bCs/>
          <w:color w:val="1B3A5C"/>
          <w:sz w:val="24"/>
          <w:szCs w:val="24"/>
        </w:rPr>
        <w:t xml:space="preserve">R1 Care loop (months 3–6)</w:t>
      </w:r>
    </w:p>
    <w:p>
      <w:pPr>
        <w:pStyle w:val="ListParagraph"/>
        <w:numPr>
          <w:ilvl w:val="0"/>
          <w:numId w:val="2"/>
        </w:numPr>
        <w:spacing w:after="60" w:line="264"/>
      </w:pPr>
      <w:r>
        <w:rPr>
          <w:rFonts w:ascii="Arial" w:cs="Arial" w:eastAsia="Arial" w:hAnsi="Arial"/>
          <w:sz w:val="20"/>
          <w:szCs w:val="20"/>
        </w:rPr>
        <w:t xml:space="preserve">Child, family, room and centre management in the portal (BRD §12).</w:t>
      </w:r>
    </w:p>
    <w:p>
      <w:pPr>
        <w:pStyle w:val="ListParagraph"/>
        <w:numPr>
          <w:ilvl w:val="0"/>
          <w:numId w:val="2"/>
        </w:numPr>
        <w:spacing w:after="60" w:line="264"/>
      </w:pPr>
      <w:r>
        <w:rPr>
          <w:rFonts w:ascii="Arial" w:cs="Arial" w:eastAsia="Arial" w:hAnsi="Arial"/>
          <w:sz w:val="20"/>
          <w:szCs w:val="20"/>
        </w:rPr>
        <w:t xml:space="preserve">Attendance: kiosk, QR/PIN, educator check-in, corrections with audit (EDU-001, PAR-008).</w:t>
      </w:r>
    </w:p>
    <w:p>
      <w:pPr>
        <w:pStyle w:val="ListParagraph"/>
        <w:numPr>
          <w:ilvl w:val="0"/>
          <w:numId w:val="2"/>
        </w:numPr>
        <w:spacing w:after="60" w:line="264"/>
      </w:pPr>
      <w:r>
        <w:rPr>
          <w:rFonts w:ascii="Arial" w:cs="Arial" w:eastAsia="Arial" w:hAnsi="Arial"/>
          <w:sz w:val="20"/>
          <w:szCs w:val="20"/>
        </w:rPr>
        <w:t xml:space="preserve">Group-first care logging for meals, sleep, toileting, bottles, activities (EDU-002), stored as append-only events.</w:t>
      </w:r>
    </w:p>
    <w:p>
      <w:pPr>
        <w:pStyle w:val="ListParagraph"/>
        <w:numPr>
          <w:ilvl w:val="0"/>
          <w:numId w:val="2"/>
        </w:numPr>
        <w:spacing w:after="60" w:line="264"/>
      </w:pPr>
      <w:r>
        <w:rPr>
          <w:rFonts w:ascii="Arial" w:cs="Arial" w:eastAsia="Arial" w:hAnsi="Arial"/>
          <w:sz w:val="20"/>
          <w:szCs w:val="20"/>
        </w:rPr>
        <w:t xml:space="preserve">Offline-first educator app with visible sync state and defined conflict rules (EDU-008, EDU-009).</w:t>
      </w:r>
    </w:p>
    <w:p>
      <w:pPr>
        <w:pStyle w:val="ListParagraph"/>
        <w:numPr>
          <w:ilvl w:val="0"/>
          <w:numId w:val="2"/>
        </w:numPr>
        <w:spacing w:after="60" w:line="264"/>
      </w:pPr>
      <w:r>
        <w:rPr>
          <w:rFonts w:ascii="Arial" w:cs="Arial" w:eastAsia="Arial" w:hAnsi="Arial"/>
          <w:sz w:val="20"/>
          <w:szCs w:val="20"/>
        </w:rPr>
        <w:t xml:space="preserve">Photo capture, EXIF/GPS stripping, per-child tagging, privacy flags, private storage with short-lived URLs (EDU-003, PAR-005).</w:t>
      </w:r>
    </w:p>
    <w:p>
      <w:pPr>
        <w:pStyle w:val="ListParagraph"/>
        <w:numPr>
          <w:ilvl w:val="0"/>
          <w:numId w:val="2"/>
        </w:numPr>
        <w:spacing w:after="60" w:line="264"/>
      </w:pPr>
      <w:r>
        <w:rPr>
          <w:rFonts w:ascii="Arial" w:cs="Arial" w:eastAsia="Arial" w:hAnsi="Arial"/>
          <w:sz w:val="20"/>
          <w:szCs w:val="20"/>
        </w:rPr>
        <w:t xml:space="preserve">Parent app: login, Child at a Glance, care records, attendance history, categorised push (PAR-001 to PAR-005, PAR-008).</w:t>
      </w:r>
    </w:p>
    <w:p>
      <w:pPr>
        <w:pStyle w:val="Heading2"/>
        <w:spacing w:after="100" w:before="220"/>
      </w:pPr>
      <w:r>
        <w:rPr>
          <w:rFonts w:ascii="Arial" w:cs="Arial" w:eastAsia="Arial" w:hAnsi="Arial"/>
          <w:b/>
          <w:bCs/>
          <w:color w:val="1B3A5C"/>
          <w:sz w:val="24"/>
          <w:szCs w:val="24"/>
        </w:rPr>
        <w:t xml:space="preserve">R2 Family and safety (months 5–8)</w:t>
      </w:r>
    </w:p>
    <w:p>
      <w:pPr>
        <w:pStyle w:val="ListParagraph"/>
        <w:numPr>
          <w:ilvl w:val="0"/>
          <w:numId w:val="2"/>
        </w:numPr>
        <w:spacing w:after="60" w:line="264"/>
      </w:pPr>
      <w:r>
        <w:rPr>
          <w:rFonts w:ascii="Arial" w:cs="Arial" w:eastAsia="Arial" w:hAnsi="Arial"/>
          <w:sz w:val="20"/>
          <w:szCs w:val="20"/>
        </w:rPr>
        <w:t xml:space="preserve">Secure messaging and announcements, emergency broadcast on a separate high-priority path (PAR-006).</w:t>
      </w:r>
    </w:p>
    <w:p>
      <w:pPr>
        <w:pStyle w:val="ListParagraph"/>
        <w:numPr>
          <w:ilvl w:val="0"/>
          <w:numId w:val="2"/>
        </w:numPr>
        <w:spacing w:after="60" w:line="264"/>
      </w:pPr>
      <w:r>
        <w:rPr>
          <w:rFonts w:ascii="Arial" w:cs="Arial" w:eastAsia="Arial" w:hAnsi="Arial"/>
          <w:sz w:val="20"/>
          <w:szCs w:val="20"/>
        </w:rPr>
        <w:t xml:space="preserve">Notification priority classes, SMS/email fallback, digest, parent preferences, delivery tracking (PAR-003, PAR-012).</w:t>
      </w:r>
    </w:p>
    <w:p>
      <w:pPr>
        <w:pStyle w:val="ListParagraph"/>
        <w:numPr>
          <w:ilvl w:val="0"/>
          <w:numId w:val="2"/>
        </w:numPr>
        <w:spacing w:after="60" w:line="264"/>
      </w:pPr>
      <w:r>
        <w:rPr>
          <w:rFonts w:ascii="Arial" w:cs="Arial" w:eastAsia="Arial" w:hAnsi="Arial"/>
          <w:sz w:val="20"/>
          <w:szCs w:val="20"/>
        </w:rPr>
        <w:t xml:space="preserve">Digital forms and signatures (PAR-007).</w:t>
      </w:r>
    </w:p>
    <w:p>
      <w:pPr>
        <w:pStyle w:val="ListParagraph"/>
        <w:numPr>
          <w:ilvl w:val="0"/>
          <w:numId w:val="2"/>
        </w:numPr>
        <w:spacing w:after="60" w:line="264"/>
      </w:pPr>
      <w:r>
        <w:rPr>
          <w:rFonts w:ascii="Arial" w:cs="Arial" w:eastAsia="Arial" w:hAnsi="Arial"/>
          <w:sz w:val="20"/>
          <w:szCs w:val="20"/>
        </w:rPr>
        <w:t xml:space="preserve">Medication authorisation and administration with hard conflict handling and immutable records (EDU-006).</w:t>
      </w:r>
    </w:p>
    <w:p>
      <w:pPr>
        <w:pStyle w:val="ListParagraph"/>
        <w:numPr>
          <w:ilvl w:val="0"/>
          <w:numId w:val="2"/>
        </w:numPr>
        <w:spacing w:after="60" w:line="264"/>
      </w:pPr>
      <w:r>
        <w:rPr>
          <w:rFonts w:ascii="Arial" w:cs="Arial" w:eastAsia="Arial" w:hAnsi="Arial"/>
          <w:sz w:val="20"/>
          <w:szCs w:val="20"/>
        </w:rPr>
        <w:t xml:space="preserve">Incident capture, parent notification workflow, acknowledgement, management review (EDU-007).</w:t>
      </w:r>
    </w:p>
    <w:p>
      <w:pPr>
        <w:pStyle w:val="ListParagraph"/>
        <w:numPr>
          <w:ilvl w:val="0"/>
          <w:numId w:val="2"/>
        </w:numPr>
        <w:spacing w:after="60" w:line="264"/>
      </w:pPr>
      <w:r>
        <w:rPr>
          <w:rFonts w:ascii="Arial" w:cs="Arial" w:eastAsia="Arial" w:hAnsi="Arial"/>
          <w:sz w:val="20"/>
          <w:szCs w:val="20"/>
        </w:rPr>
        <w:t xml:space="preserve">Authorised pickup management (PAR-011).</w:t>
      </w:r>
    </w:p>
    <w:p>
      <w:pPr>
        <w:pStyle w:val="ListParagraph"/>
        <w:numPr>
          <w:ilvl w:val="0"/>
          <w:numId w:val="2"/>
        </w:numPr>
        <w:spacing w:after="60" w:line="264"/>
      </w:pPr>
      <w:r>
        <w:rPr>
          <w:rFonts w:ascii="Arial" w:cs="Arial" w:eastAsia="Arial" w:hAnsi="Arial"/>
          <w:sz w:val="20"/>
          <w:szCs w:val="20"/>
        </w:rPr>
        <w:t xml:space="preserve">Core operational reporting and live dashboard.</w:t>
      </w:r>
    </w:p>
    <w:p>
      <w:pPr>
        <w:pStyle w:val="ListParagraph"/>
        <w:numPr>
          <w:ilvl w:val="0"/>
          <w:numId w:val="2"/>
        </w:numPr>
        <w:spacing w:after="60" w:line="264"/>
      </w:pPr>
      <w:r>
        <w:rPr>
          <w:rFonts w:ascii="Arial" w:cs="Arial" w:eastAsia="Arial" w:hAnsi="Arial"/>
          <w:sz w:val="20"/>
          <w:szCs w:val="20"/>
        </w:rPr>
        <w:t xml:space="preserve">If OI-04 resolves in favour of it: a thin observation-capture slice (EDU-004) so educators can record observations before Phase 2 learning workflows exist.</w:t>
      </w:r>
    </w:p>
    <w:p>
      <w:pPr>
        <w:pStyle w:val="Heading2"/>
        <w:spacing w:after="100" w:before="220"/>
      </w:pPr>
      <w:r>
        <w:rPr>
          <w:rFonts w:ascii="Arial" w:cs="Arial" w:eastAsia="Arial" w:hAnsi="Arial"/>
          <w:b/>
          <w:bCs/>
          <w:color w:val="1B3A5C"/>
          <w:sz w:val="24"/>
          <w:szCs w:val="24"/>
        </w:rPr>
        <w:t xml:space="preserve">R3 Money (months 4–9)</w:t>
      </w:r>
    </w:p>
    <w:p>
      <w:pPr>
        <w:spacing w:after="120" w:line="276"/>
      </w:pPr>
      <w:r>
        <w:rPr>
          <w:rFonts w:ascii="Arial" w:cs="Arial" w:eastAsia="Arial" w:hAnsi="Arial"/>
          <w:sz w:val="20"/>
          <w:szCs w:val="20"/>
        </w:rPr>
        <w:t xml:space="preserve">Starts early because the ledger is the foundation CCS sits on. Run by the Money squad.</w:t>
      </w:r>
    </w:p>
    <w:p>
      <w:pPr>
        <w:pStyle w:val="ListParagraph"/>
        <w:numPr>
          <w:ilvl w:val="0"/>
          <w:numId w:val="2"/>
        </w:numPr>
        <w:spacing w:after="60" w:line="264"/>
      </w:pPr>
      <w:r>
        <w:rPr>
          <w:rFonts w:ascii="Arial" w:cs="Arial" w:eastAsia="Arial" w:hAnsi="Arial"/>
          <w:sz w:val="20"/>
          <w:szCs w:val="20"/>
        </w:rPr>
        <w:t xml:space="preserve">Fee schedules, bookings (permanent and casual), absences (BIL-001, BIL-002).</w:t>
      </w:r>
    </w:p>
    <w:p>
      <w:pPr>
        <w:pStyle w:val="ListParagraph"/>
        <w:numPr>
          <w:ilvl w:val="0"/>
          <w:numId w:val="2"/>
        </w:numPr>
        <w:spacing w:after="60" w:line="264"/>
      </w:pPr>
      <w:r>
        <w:rPr>
          <w:rFonts w:ascii="Arial" w:cs="Arial" w:eastAsia="Arial" w:hAnsi="Arial"/>
          <w:sz w:val="20"/>
          <w:szCs w:val="20"/>
        </w:rPr>
        <w:t xml:space="preserve">Invoice generation on configurable cycles, immutable once issued, changes via credits and adjustments (BIL-003, BIL-009).</w:t>
      </w:r>
    </w:p>
    <w:p>
      <w:pPr>
        <w:pStyle w:val="ListParagraph"/>
        <w:numPr>
          <w:ilvl w:val="0"/>
          <w:numId w:val="2"/>
        </w:numPr>
        <w:spacing w:after="60" w:line="264"/>
      </w:pPr>
      <w:r>
        <w:rPr>
          <w:rFonts w:ascii="Arial" w:cs="Arial" w:eastAsia="Arial" w:hAnsi="Arial"/>
          <w:sz w:val="20"/>
          <w:szCs w:val="20"/>
        </w:rPr>
        <w:t xml:space="preserve">Family ledger with running balance, ageing and reminders (BIL-010).</w:t>
      </w:r>
    </w:p>
    <w:p>
      <w:pPr>
        <w:pStyle w:val="ListParagraph"/>
        <w:numPr>
          <w:ilvl w:val="0"/>
          <w:numId w:val="2"/>
        </w:numPr>
        <w:spacing w:after="60" w:line="264"/>
      </w:pPr>
      <w:r>
        <w:rPr>
          <w:rFonts w:ascii="Arial" w:cs="Arial" w:eastAsia="Arial" w:hAnsi="Arial"/>
          <w:sz w:val="20"/>
          <w:szCs w:val="20"/>
        </w:rPr>
        <w:t xml:space="preserve">Payments: card and BECS direct debit through an Australian gateway with tokenisation, scheduled debits, retries, manual payments and receipts (BIL-006 to BIL-008, PAR-014).</w:t>
      </w:r>
    </w:p>
    <w:p>
      <w:pPr>
        <w:pStyle w:val="ListParagraph"/>
        <w:numPr>
          <w:ilvl w:val="0"/>
          <w:numId w:val="2"/>
        </w:numPr>
        <w:spacing w:after="60" w:line="264"/>
      </w:pPr>
      <w:r>
        <w:rPr>
          <w:rFonts w:ascii="Arial" w:cs="Arial" w:eastAsia="Arial" w:hAnsi="Arial"/>
          <w:sz w:val="20"/>
          <w:szCs w:val="20"/>
        </w:rPr>
        <w:t xml:space="preserve">Explainable parent invoice: gross fee, subsidy (estimated or confirmed), gap, payments, balance (BIL-011, PAR-009).</w:t>
      </w:r>
    </w:p>
    <w:p>
      <w:pPr>
        <w:pStyle w:val="ListParagraph"/>
        <w:numPr>
          <w:ilvl w:val="0"/>
          <w:numId w:val="2"/>
        </w:numPr>
        <w:spacing w:after="60" w:line="264"/>
      </w:pPr>
      <w:r>
        <w:rPr>
          <w:rFonts w:ascii="Arial" w:cs="Arial" w:eastAsia="Arial" w:hAnsi="Arial"/>
          <w:sz w:val="20"/>
          <w:szCs w:val="20"/>
        </w:rPr>
        <w:t xml:space="preserve">Reconciliation dashboards and finance reports (BIL-012, BIL-013).</w:t>
      </w:r>
    </w:p>
    <w:p>
      <w:pPr>
        <w:pStyle w:val="Heading2"/>
        <w:spacing w:after="100" w:before="220"/>
      </w:pPr>
      <w:r>
        <w:rPr>
          <w:rFonts w:ascii="Arial" w:cs="Arial" w:eastAsia="Arial" w:hAnsi="Arial"/>
          <w:b/>
          <w:bCs/>
          <w:color w:val="1B3A5C"/>
          <w:sz w:val="24"/>
          <w:szCs w:val="24"/>
        </w:rPr>
        <w:t xml:space="preserve">R4 CCS integration (months 6–11)</w:t>
      </w:r>
    </w:p>
    <w:p>
      <w:pPr>
        <w:pStyle w:val="ListParagraph"/>
        <w:numPr>
          <w:ilvl w:val="0"/>
          <w:numId w:val="2"/>
        </w:numPr>
        <w:spacing w:after="60" w:line="264"/>
      </w:pPr>
      <w:r>
        <w:rPr>
          <w:rFonts w:ascii="Arial" w:cs="Arial" w:eastAsia="Arial" w:hAnsi="Arial"/>
          <w:sz w:val="20"/>
          <w:szCs w:val="20"/>
        </w:rPr>
        <w:t xml:space="preserve">Isolated module with its own queue, retries, audit trail and replay tool, so a government outage can never block care workflows.</w:t>
      </w:r>
    </w:p>
    <w:p>
      <w:pPr>
        <w:pStyle w:val="ListParagraph"/>
        <w:numPr>
          <w:ilvl w:val="0"/>
          <w:numId w:val="2"/>
        </w:numPr>
        <w:spacing w:after="60" w:line="264"/>
      </w:pPr>
      <w:r>
        <w:rPr>
          <w:rFonts w:ascii="Arial" w:cs="Arial" w:eastAsia="Arial" w:hAnsi="Arial"/>
          <w:sz w:val="20"/>
          <w:szCs w:val="20"/>
        </w:rPr>
        <w:t xml:space="preserve">Enrolment and entitlement data, session reports, subsidy responses, rejections and resubmission (BIL-004, BIL-005).</w:t>
      </w:r>
    </w:p>
    <w:p>
      <w:pPr>
        <w:pStyle w:val="ListParagraph"/>
        <w:numPr>
          <w:ilvl w:val="0"/>
          <w:numId w:val="2"/>
        </w:numPr>
        <w:spacing w:after="60" w:line="264"/>
      </w:pPr>
      <w:r>
        <w:rPr>
          <w:rFonts w:ascii="Arial" w:cs="Arial" w:eastAsia="Arial" w:hAnsi="Arial"/>
          <w:sz w:val="20"/>
          <w:szCs w:val="20"/>
        </w:rPr>
        <w:t xml:space="preserve">Every amount carries a source: platform-estimated or government-confirmed.</w:t>
      </w:r>
    </w:p>
    <w:p>
      <w:pPr>
        <w:pStyle w:val="ListParagraph"/>
        <w:numPr>
          <w:ilvl w:val="0"/>
          <w:numId w:val="2"/>
        </w:numPr>
        <w:spacing w:after="60" w:line="264"/>
      </w:pPr>
      <w:r>
        <w:rPr>
          <w:rFonts w:ascii="Arial" w:cs="Arial" w:eastAsia="Arial" w:hAnsi="Arial"/>
          <w:sz w:val="20"/>
          <w:szCs w:val="20"/>
        </w:rPr>
        <w:t xml:space="preserve">Sandbox/test-environment integration first, then conformance testing as required by the Department.</w:t>
      </w:r>
    </w:p>
    <w:p>
      <w:pPr>
        <w:pStyle w:val="ListParagraph"/>
        <w:numPr>
          <w:ilvl w:val="0"/>
          <w:numId w:val="2"/>
        </w:numPr>
        <w:spacing w:after="60" w:line="264"/>
      </w:pPr>
      <w:r>
        <w:rPr>
          <w:rFonts w:ascii="Arial" w:cs="Arial" w:eastAsia="Arial" w:hAnsi="Arial"/>
          <w:sz w:val="20"/>
          <w:szCs w:val="20"/>
        </w:rPr>
        <w:t xml:space="preserve">Reconciliation of subsidy received against expected, with variance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line="264"/>
            </w:pPr>
            <w:r>
              <w:rPr>
                <w:rFonts w:ascii="Arial" w:cs="Arial" w:eastAsia="Arial" w:hAnsi="Arial"/>
                <w:b/>
                <w:bCs/>
                <w:sz w:val="20"/>
                <w:szCs w:val="20"/>
              </w:rPr>
              <w:t xml:space="preserve">Fallback if registration slips: </w:t>
            </w:r>
            <w:r>
              <w:rPr>
                <w:rFonts w:ascii="Arial" w:cs="Arial" w:eastAsia="Arial" w:hAnsi="Arial"/>
                <w:sz w:val="20"/>
                <w:szCs w:val="20"/>
              </w:rPr>
              <w:t xml:space="preserve">integrate with an already-registered provider or intermediary for the first release, behind the same internal CCS interface, and swap to direct integration later. Decide this at G2 at the latest. Without it, a late registration delays the whole of Phase 1.</w:t>
            </w:r>
          </w:p>
        </w:tc>
      </w:tr>
    </w:tbl>
    <w:p>
      <w:pPr>
        <w:spacing w:after="60"/>
      </w:pPr>
    </w:p>
    <w:p>
      <w:pPr>
        <w:pStyle w:val="Heading2"/>
        <w:spacing w:after="100" w:before="220"/>
      </w:pPr>
      <w:r>
        <w:rPr>
          <w:rFonts w:ascii="Arial" w:cs="Arial" w:eastAsia="Arial" w:hAnsi="Arial"/>
          <w:b/>
          <w:bCs/>
          <w:color w:val="1B3A5C"/>
          <w:sz w:val="24"/>
          <w:szCs w:val="24"/>
        </w:rPr>
        <w:t xml:space="preserve">R5 Hardening (months 10–11)</w:t>
      </w:r>
    </w:p>
    <w:p>
      <w:pPr>
        <w:pStyle w:val="ListParagraph"/>
        <w:numPr>
          <w:ilvl w:val="0"/>
          <w:numId w:val="2"/>
        </w:numPr>
        <w:spacing w:after="60" w:line="264"/>
      </w:pPr>
      <w:r>
        <w:rPr>
          <w:rFonts w:ascii="Arial" w:cs="Arial" w:eastAsia="Arial" w:hAnsi="Arial"/>
          <w:sz w:val="20"/>
          <w:szCs w:val="20"/>
        </w:rPr>
        <w:t xml:space="preserve">External penetration test; fix all critical and high findings before pilot.</w:t>
      </w:r>
    </w:p>
    <w:p>
      <w:pPr>
        <w:pStyle w:val="ListParagraph"/>
        <w:numPr>
          <w:ilvl w:val="0"/>
          <w:numId w:val="2"/>
        </w:numPr>
        <w:spacing w:after="60" w:line="264"/>
      </w:pPr>
      <w:r>
        <w:rPr>
          <w:rFonts w:ascii="Arial" w:cs="Arial" w:eastAsia="Arial" w:hAnsi="Arial"/>
          <w:sz w:val="20"/>
          <w:szCs w:val="20"/>
        </w:rPr>
        <w:t xml:space="preserve">Load test to the agreed targets, including invoice runs and morning check-in peaks.</w:t>
      </w:r>
    </w:p>
    <w:p>
      <w:pPr>
        <w:pStyle w:val="ListParagraph"/>
        <w:numPr>
          <w:ilvl w:val="0"/>
          <w:numId w:val="2"/>
        </w:numPr>
        <w:spacing w:after="60" w:line="264"/>
      </w:pPr>
      <w:r>
        <w:rPr>
          <w:rFonts w:ascii="Arial" w:cs="Arial" w:eastAsia="Arial" w:hAnsi="Arial"/>
          <w:sz w:val="20"/>
          <w:szCs w:val="20"/>
        </w:rPr>
        <w:t xml:space="preserve">Disaster recovery drill: restore from backup into Melbourne and measure against RPO/RTO.</w:t>
      </w:r>
    </w:p>
    <w:p>
      <w:pPr>
        <w:pStyle w:val="ListParagraph"/>
        <w:numPr>
          <w:ilvl w:val="0"/>
          <w:numId w:val="2"/>
        </w:numPr>
        <w:spacing w:after="60" w:line="264"/>
      </w:pPr>
      <w:r>
        <w:rPr>
          <w:rFonts w:ascii="Arial" w:cs="Arial" w:eastAsia="Arial" w:hAnsi="Arial"/>
          <w:sz w:val="20"/>
          <w:szCs w:val="20"/>
        </w:rPr>
        <w:t xml:space="preserve">Accessibility audit against WCAG 2.2 AA; real-device testing on low-cost Android tablets on poor Wi-Fi.</w:t>
      </w:r>
    </w:p>
    <w:p>
      <w:pPr>
        <w:pStyle w:val="ListParagraph"/>
        <w:numPr>
          <w:ilvl w:val="0"/>
          <w:numId w:val="2"/>
        </w:numPr>
        <w:spacing w:after="60" w:line="264"/>
      </w:pPr>
      <w:r>
        <w:rPr>
          <w:rFonts w:ascii="Arial" w:cs="Arial" w:eastAsia="Arial" w:hAnsi="Arial"/>
          <w:sz w:val="20"/>
          <w:szCs w:val="20"/>
        </w:rPr>
        <w:t xml:space="preserve">Privacy impact assessment and data-breach response exercise.</w:t>
      </w:r>
    </w:p>
    <w:p>
      <w:pPr>
        <w:pStyle w:val="Heading2"/>
        <w:spacing w:after="100" w:before="220"/>
      </w:pPr>
      <w:r>
        <w:rPr>
          <w:rFonts w:ascii="Arial" w:cs="Arial" w:eastAsia="Arial" w:hAnsi="Arial"/>
          <w:b/>
          <w:bCs/>
          <w:color w:val="1B3A5C"/>
          <w:sz w:val="24"/>
          <w:szCs w:val="24"/>
        </w:rPr>
        <w:t xml:space="preserve">Pilot (months 11–13)</w:t>
      </w:r>
    </w:p>
    <w:p>
      <w:pPr>
        <w:pStyle w:val="ListParagraph"/>
        <w:numPr>
          <w:ilvl w:val="0"/>
          <w:numId w:val="2"/>
        </w:numPr>
        <w:spacing w:after="60" w:line="264"/>
      </w:pPr>
      <w:r>
        <w:rPr>
          <w:rFonts w:ascii="Arial" w:cs="Arial" w:eastAsia="Arial" w:hAnsi="Arial"/>
          <w:sz w:val="20"/>
          <w:szCs w:val="20"/>
        </w:rPr>
        <w:t xml:space="preserve">Two or three friendly centres of different sizes, parallel-run with their current process for the first billing cycle.</w:t>
      </w:r>
    </w:p>
    <w:p>
      <w:pPr>
        <w:pStyle w:val="ListParagraph"/>
        <w:numPr>
          <w:ilvl w:val="0"/>
          <w:numId w:val="2"/>
        </w:numPr>
        <w:spacing w:after="60" w:line="264"/>
      </w:pPr>
      <w:r>
        <w:rPr>
          <w:rFonts w:ascii="Arial" w:cs="Arial" w:eastAsia="Arial" w:hAnsi="Arial"/>
          <w:sz w:val="20"/>
          <w:szCs w:val="20"/>
        </w:rPr>
        <w:t xml:space="preserve">Record the educator documentation-time baseline before pilot start, so the 40% reduction can be measured.</w:t>
      </w:r>
    </w:p>
    <w:p>
      <w:pPr>
        <w:pStyle w:val="ListParagraph"/>
        <w:numPr>
          <w:ilvl w:val="0"/>
          <w:numId w:val="2"/>
        </w:numPr>
        <w:spacing w:after="60" w:line="264"/>
      </w:pPr>
      <w:r>
        <w:rPr>
          <w:rFonts w:ascii="Arial" w:cs="Arial" w:eastAsia="Arial" w:hAnsi="Arial"/>
          <w:sz w:val="20"/>
          <w:szCs w:val="20"/>
        </w:rPr>
        <w:t xml:space="preserve">Daily triage of sync failures, notification failures, and billing discrepancies. Weekly review with centre directors.</w:t>
      </w:r>
    </w:p>
    <w:p>
      <w:pPr>
        <w:pStyle w:val="ListParagraph"/>
        <w:numPr>
          <w:ilvl w:val="0"/>
          <w:numId w:val="2"/>
        </w:numPr>
        <w:spacing w:after="60" w:line="264"/>
      </w:pPr>
      <w:r>
        <w:rPr>
          <w:rFonts w:ascii="Arial" w:cs="Arial" w:eastAsia="Arial" w:hAnsi="Arial"/>
          <w:sz w:val="20"/>
          <w:szCs w:val="20"/>
        </w:rPr>
        <w:t xml:space="preserve">Centres are set up manually or with assisted setup, because migration is out of MVP.</w:t>
      </w:r>
    </w:p>
    <w:p>
      <w:pPr>
        <w:pStyle w:val="Heading1"/>
        <w:spacing w:after="140" w:before="320"/>
      </w:pPr>
      <w:r>
        <w:rPr>
          <w:rFonts w:ascii="Arial" w:cs="Arial" w:eastAsia="Arial" w:hAnsi="Arial"/>
          <w:b/>
          <w:bCs/>
          <w:color w:val="1B3A5C"/>
          <w:sz w:val="30"/>
          <w:szCs w:val="30"/>
        </w:rPr>
        <w:t xml:space="preserve">5. Architecture and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012"/>
        <w:gridCol w:w="3277"/>
      </w:tblGrid>
      <w:tr>
        <w:trPr>
          <w:tblHeader/>
        </w:trPr>
        <w:tc>
          <w:tcPr>
            <w:tcW w:type="dxa" w:w="134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Layer</w:t>
            </w:r>
          </w:p>
        </w:tc>
        <w:tc>
          <w:tcPr>
            <w:tcW w:type="dxa" w:w="501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Recommendation</w:t>
            </w:r>
          </w:p>
        </w:tc>
        <w:tc>
          <w:tcPr>
            <w:tcW w:type="dxa" w:w="327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Why</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Mobile</w:t>
            </w:r>
          </w:p>
        </w:tc>
        <w:tc>
          <w:tcPr>
            <w:tcW w:type="dxa" w:w="501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React Native (Expo) or Flutter; two apps from one codebase; SQLite-based local DB with a sync layer (e.g. PowerSync or WatermelonDB)</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One team, strong offline options, shared logic</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Web portal</w:t>
            </w:r>
          </w:p>
        </w:tc>
        <w:tc>
          <w:tcPr>
            <w:tcW w:type="dxa" w:w="501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React / Next.js, TypeScript</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Shared types and API client with mobile</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Backend</w:t>
            </w:r>
          </w:p>
        </w:tc>
        <w:tc>
          <w:tcPr>
            <w:tcW w:type="dxa" w:w="501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TypeScript (NestJS) or Kotlin/Spring; modular monolith</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Fast to build and operate; split out only where load demands (notifications and media first)</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Database</w:t>
            </w:r>
          </w:p>
        </w:tc>
        <w:tc>
          <w:tcPr>
            <w:tcW w:type="dxa" w:w="501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PostgreSQL with row-level security; integer cents for all money</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Relational integrity, audit-friendly, tenant isolation as a safety net</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w:t>
            </w:r>
          </w:p>
        </w:tc>
        <w:tc>
          <w:tcPr>
            <w:tcW w:type="dxa" w:w="501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Private S3 buckets, short-lived signed URLs, CDN, processing workers</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 public media URLs</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Async</w:t>
            </w:r>
          </w:p>
        </w:tc>
        <w:tc>
          <w:tcPr>
            <w:tcW w:type="dxa" w:w="501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SQS/EventBridge or equivalent</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Notifications, media processing, CCS jobs, sync fan-out</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Identity</w:t>
            </w:r>
          </w:p>
        </w:tc>
        <w:tc>
          <w:tcPr>
            <w:tcW w:type="dxa" w:w="501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Managed IdP (Cognito, Auth0, Entra External ID) or Keycloak</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MFA and SSO later without rebuilding</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Payments</w:t>
            </w:r>
          </w:p>
        </w:tc>
        <w:tc>
          <w:tcPr>
            <w:tcW w:type="dxa" w:w="501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Australian gateway supporting cards and BECS with tokenisation</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Keeps card data out of scope (PCI SAQ-A)</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Hosting</w:t>
            </w:r>
          </w:p>
        </w:tc>
        <w:tc>
          <w:tcPr>
            <w:tcW w:type="dxa" w:w="501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AWS ap-southeast-2 (Sydney), DR in ap-southeast-4 (Melbourne), Terraform</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Australian data residency (BRD §18)</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Observability</w:t>
            </w:r>
          </w:p>
        </w:tc>
        <w:tc>
          <w:tcPr>
            <w:tcW w:type="dxa" w:w="501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OpenTelemetry to Grafana/Datadog; Sentry on apps</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Needed to investigate failed sync and notifications (BRD §26)</w:t>
            </w:r>
          </w:p>
        </w:tc>
      </w:tr>
    </w:tbl>
    <w:p>
      <w:pPr>
        <w:spacing w:after="80"/>
      </w:pPr>
    </w:p>
    <w:p>
      <w:pPr>
        <w:pStyle w:val="Heading1"/>
        <w:spacing w:after="140" w:before="320"/>
      </w:pPr>
      <w:r>
        <w:rPr>
          <w:rFonts w:ascii="Arial" w:cs="Arial" w:eastAsia="Arial" w:hAnsi="Arial"/>
          <w:b/>
          <w:bCs/>
          <w:color w:val="1B3A5C"/>
          <w:sz w:val="30"/>
          <w:szCs w:val="30"/>
        </w:rPr>
        <w:t xml:space="preserve">6. The hard parts, designed up front</w:t>
      </w:r>
    </w:p>
    <w:p>
      <w:pPr>
        <w:pStyle w:val="Heading2"/>
        <w:spacing w:after="100" w:before="220"/>
      </w:pPr>
      <w:r>
        <w:rPr>
          <w:rFonts w:ascii="Arial" w:cs="Arial" w:eastAsia="Arial" w:hAnsi="Arial"/>
          <w:b/>
          <w:bCs/>
          <w:color w:val="1B3A5C"/>
          <w:sz w:val="24"/>
          <w:szCs w:val="24"/>
        </w:rPr>
        <w:t xml:space="preserve">6.1 Offline sync</w:t>
      </w:r>
    </w:p>
    <w:p>
      <w:pPr>
        <w:pStyle w:val="ListParagraph"/>
        <w:numPr>
          <w:ilvl w:val="0"/>
          <w:numId w:val="2"/>
        </w:numPr>
        <w:spacing w:after="60" w:line="264"/>
      </w:pPr>
      <w:r>
        <w:rPr>
          <w:rFonts w:ascii="Arial" w:cs="Arial" w:eastAsia="Arial" w:hAnsi="Arial"/>
          <w:sz w:val="20"/>
          <w:szCs w:val="20"/>
        </w:rPr>
        <w:t xml:space="preserve">Every change is an operation with a client-generated ID, timestamp, author and idempotency key; the server applies each exactly once.</w:t>
      </w:r>
    </w:p>
    <w:p>
      <w:pPr>
        <w:pStyle w:val="ListParagraph"/>
        <w:numPr>
          <w:ilvl w:val="0"/>
          <w:numId w:val="2"/>
        </w:numPr>
        <w:spacing w:after="60" w:line="264"/>
      </w:pPr>
      <w:r>
        <w:rPr>
          <w:rFonts w:ascii="Arial" w:cs="Arial" w:eastAsia="Arial" w:hAnsi="Arial"/>
          <w:sz w:val="20"/>
          <w:szCs w:val="20"/>
        </w:rPr>
        <w:t xml:space="preserve">Care records are append-only events, so two educators logging different things never conflict.</w:t>
      </w:r>
    </w:p>
    <w:p>
      <w:pPr>
        <w:pStyle w:val="ListParagraph"/>
        <w:numPr>
          <w:ilvl w:val="0"/>
          <w:numId w:val="2"/>
        </w:numPr>
        <w:spacing w:after="60" w:line="264"/>
      </w:pPr>
      <w:r>
        <w:rPr>
          <w:rFonts w:ascii="Arial" w:cs="Arial" w:eastAsia="Arial" w:hAnsi="Arial"/>
          <w:sz w:val="20"/>
          <w:szCs w:val="20"/>
        </w:rPr>
        <w:t xml:space="preserve">Explicit conflict rule per entity: attendance sign-out is server-wins with an admin flag; medication administration is a hard conflict needing human review (double-dose risk); profile edits are last-writer-wins with audit.</w:t>
      </w:r>
    </w:p>
    <w:p>
      <w:pPr>
        <w:pStyle w:val="ListParagraph"/>
        <w:numPr>
          <w:ilvl w:val="0"/>
          <w:numId w:val="2"/>
        </w:numPr>
        <w:spacing w:after="60" w:line="264"/>
      </w:pPr>
      <w:r>
        <w:rPr>
          <w:rFonts w:ascii="Arial" w:cs="Arial" w:eastAsia="Arial" w:hAnsi="Arial"/>
          <w:sz w:val="20"/>
          <w:szCs w:val="20"/>
        </w:rPr>
        <w:t xml:space="preserve">Cache only the educator's own room or centre, encrypted at rest, wiped on logout or remote revoke.</w:t>
      </w:r>
    </w:p>
    <w:p>
      <w:pPr>
        <w:pStyle w:val="ListParagraph"/>
        <w:numPr>
          <w:ilvl w:val="0"/>
          <w:numId w:val="2"/>
        </w:numPr>
        <w:spacing w:after="60" w:line="264"/>
      </w:pPr>
      <w:r>
        <w:rPr>
          <w:rFonts w:ascii="Arial" w:cs="Arial" w:eastAsia="Arial" w:hAnsi="Arial"/>
          <w:sz w:val="20"/>
          <w:szCs w:val="20"/>
        </w:rPr>
        <w:t xml:space="preserve">Test with airplane mode, multi-device and kill-the-app scenarios in CI.</w:t>
      </w:r>
    </w:p>
    <w:p>
      <w:pPr>
        <w:pStyle w:val="Heading2"/>
        <w:spacing w:after="100" w:before="220"/>
      </w:pPr>
      <w:r>
        <w:rPr>
          <w:rFonts w:ascii="Arial" w:cs="Arial" w:eastAsia="Arial" w:hAnsi="Arial"/>
          <w:b/>
          <w:bCs/>
          <w:color w:val="1B3A5C"/>
          <w:sz w:val="24"/>
          <w:szCs w:val="24"/>
        </w:rPr>
        <w:t xml:space="preserve">6.2 Access control and audit</w:t>
      </w:r>
    </w:p>
    <w:p>
      <w:pPr>
        <w:pStyle w:val="ListParagraph"/>
        <w:numPr>
          <w:ilvl w:val="0"/>
          <w:numId w:val="2"/>
        </w:numPr>
        <w:spacing w:after="60" w:line="264"/>
      </w:pPr>
      <w:r>
        <w:rPr>
          <w:rFonts w:ascii="Arial" w:cs="Arial" w:eastAsia="Arial" w:hAnsi="Arial"/>
          <w:sz w:val="20"/>
          <w:szCs w:val="20"/>
        </w:rPr>
        <w:t xml:space="preserve">Access depends on a relationship (guardian of this child, educator in this room), not only on a role.</w:t>
      </w:r>
    </w:p>
    <w:p>
      <w:pPr>
        <w:pStyle w:val="ListParagraph"/>
        <w:numPr>
          <w:ilvl w:val="0"/>
          <w:numId w:val="2"/>
        </w:numPr>
        <w:spacing w:after="60" w:line="264"/>
      </w:pPr>
      <w:r>
        <w:rPr>
          <w:rFonts w:ascii="Arial" w:cs="Arial" w:eastAsia="Arial" w:hAnsi="Arial"/>
          <w:sz w:val="20"/>
          <w:szCs w:val="20"/>
        </w:rPr>
        <w:t xml:space="preserve">Media with several children shows to a family only if every tagged child's permissions allow it.</w:t>
      </w:r>
    </w:p>
    <w:p>
      <w:pPr>
        <w:pStyle w:val="ListParagraph"/>
        <w:numPr>
          <w:ilvl w:val="0"/>
          <w:numId w:val="2"/>
        </w:numPr>
        <w:spacing w:after="60" w:line="264"/>
      </w:pPr>
      <w:r>
        <w:rPr>
          <w:rFonts w:ascii="Arial" w:cs="Arial" w:eastAsia="Arial" w:hAnsi="Arial"/>
          <w:sz w:val="20"/>
          <w:szCs w:val="20"/>
        </w:rPr>
        <w:t xml:space="preserve">Incident and medication records become immutable once finalised; corrections are new linked versions.</w:t>
      </w:r>
    </w:p>
    <w:p>
      <w:pPr>
        <w:pStyle w:val="ListParagraph"/>
        <w:numPr>
          <w:ilvl w:val="0"/>
          <w:numId w:val="2"/>
        </w:numPr>
        <w:spacing w:after="60" w:line="264"/>
      </w:pPr>
      <w:r>
        <w:rPr>
          <w:rFonts w:ascii="Arial" w:cs="Arial" w:eastAsia="Arial" w:hAnsi="Arial"/>
          <w:sz w:val="20"/>
          <w:szCs w:val="20"/>
        </w:rPr>
        <w:t xml:space="preserve">All sensitive reads and writes land in the append-only audit log.</w:t>
      </w:r>
    </w:p>
    <w:p>
      <w:pPr>
        <w:pStyle w:val="Heading2"/>
        <w:spacing w:after="100" w:before="220"/>
      </w:pPr>
      <w:r>
        <w:rPr>
          <w:rFonts w:ascii="Arial" w:cs="Arial" w:eastAsia="Arial" w:hAnsi="Arial"/>
          <w:b/>
          <w:bCs/>
          <w:color w:val="1B3A5C"/>
          <w:sz w:val="24"/>
          <w:szCs w:val="24"/>
        </w:rPr>
        <w:t xml:space="preserve">6.3 Money</w:t>
      </w:r>
    </w:p>
    <w:p>
      <w:pPr>
        <w:pStyle w:val="ListParagraph"/>
        <w:numPr>
          <w:ilvl w:val="0"/>
          <w:numId w:val="2"/>
        </w:numPr>
        <w:spacing w:after="60" w:line="264"/>
      </w:pPr>
      <w:r>
        <w:rPr>
          <w:rFonts w:ascii="Arial" w:cs="Arial" w:eastAsia="Arial" w:hAnsi="Arial"/>
          <w:sz w:val="20"/>
          <w:szCs w:val="20"/>
        </w:rPr>
        <w:t xml:space="preserve">Ledger design: fees, estimated subsidy, confirmed subsidy, gap, payments and adjustments are separate entries, never overwritten.</w:t>
      </w:r>
    </w:p>
    <w:p>
      <w:pPr>
        <w:pStyle w:val="ListParagraph"/>
        <w:numPr>
          <w:ilvl w:val="0"/>
          <w:numId w:val="2"/>
        </w:numPr>
        <w:spacing w:after="60" w:line="264"/>
      </w:pPr>
      <w:r>
        <w:rPr>
          <w:rFonts w:ascii="Arial" w:cs="Arial" w:eastAsia="Arial" w:hAnsi="Arial"/>
          <w:sz w:val="20"/>
          <w:szCs w:val="20"/>
        </w:rPr>
        <w:t xml:space="preserve">Golden-case test suite for fee, discount, absence and subsidy calculations, written with a childcare billing expert before the code.</w:t>
      </w:r>
    </w:p>
    <w:p>
      <w:pPr>
        <w:pStyle w:val="ListParagraph"/>
        <w:numPr>
          <w:ilvl w:val="0"/>
          <w:numId w:val="2"/>
        </w:numPr>
        <w:spacing w:after="60" w:line="264"/>
      </w:pPr>
      <w:r>
        <w:rPr>
          <w:rFonts w:ascii="Arial" w:cs="Arial" w:eastAsia="Arial" w:hAnsi="Arial"/>
          <w:sz w:val="20"/>
          <w:szCs w:val="20"/>
        </w:rPr>
        <w:t xml:space="preserve">Payment webhooks are idempotent; a failed or duplicate webhook can never double-credit an account.</w:t>
      </w:r>
    </w:p>
    <w:p>
      <w:pPr>
        <w:pStyle w:val="ListParagraph"/>
        <w:numPr>
          <w:ilvl w:val="0"/>
          <w:numId w:val="2"/>
        </w:numPr>
        <w:spacing w:after="60" w:line="264"/>
      </w:pPr>
      <w:r>
        <w:rPr>
          <w:rFonts w:ascii="Arial" w:cs="Arial" w:eastAsia="Arial" w:hAnsi="Arial"/>
          <w:sz w:val="20"/>
          <w:szCs w:val="20"/>
        </w:rPr>
        <w:t xml:space="preserve">Daily automated reconciliation of gateway settlements, ledger and CCS responses, with an exception queue for humans.</w:t>
      </w:r>
    </w:p>
    <w:p>
      <w:pPr>
        <w:pStyle w:val="Heading2"/>
        <w:spacing w:after="100" w:before="220"/>
      </w:pPr>
      <w:r>
        <w:rPr>
          <w:rFonts w:ascii="Arial" w:cs="Arial" w:eastAsia="Arial" w:hAnsi="Arial"/>
          <w:b/>
          <w:bCs/>
          <w:color w:val="1B3A5C"/>
          <w:sz w:val="24"/>
          <w:szCs w:val="24"/>
        </w:rPr>
        <w:t xml:space="preserve">6.4 Notifications</w:t>
      </w:r>
    </w:p>
    <w:p>
      <w:pPr>
        <w:pStyle w:val="ListParagraph"/>
        <w:numPr>
          <w:ilvl w:val="0"/>
          <w:numId w:val="2"/>
        </w:numPr>
        <w:spacing w:after="60" w:line="264"/>
      </w:pPr>
      <w:r>
        <w:rPr>
          <w:rFonts w:ascii="Arial" w:cs="Arial" w:eastAsia="Arial" w:hAnsi="Arial"/>
          <w:sz w:val="20"/>
          <w:szCs w:val="20"/>
        </w:rPr>
        <w:t xml:space="preserve">Priority is set when the event is created: urgent, action required, child update, general.</w:t>
      </w:r>
    </w:p>
    <w:p>
      <w:pPr>
        <w:pStyle w:val="ListParagraph"/>
        <w:numPr>
          <w:ilvl w:val="0"/>
          <w:numId w:val="2"/>
        </w:numPr>
        <w:spacing w:after="60" w:line="264"/>
      </w:pPr>
      <w:r>
        <w:rPr>
          <w:rFonts w:ascii="Arial" w:cs="Arial" w:eastAsia="Arial" w:hAnsi="Arial"/>
          <w:sz w:val="20"/>
          <w:szCs w:val="20"/>
        </w:rPr>
        <w:t xml:space="preserve">Pipeline: queue → push → delivery receipt → retry → SMS/email fallback for defined critical events. Emergency broadcast is a separate path.</w:t>
      </w:r>
    </w:p>
    <w:p>
      <w:pPr>
        <w:pStyle w:val="ListParagraph"/>
        <w:numPr>
          <w:ilvl w:val="0"/>
          <w:numId w:val="2"/>
        </w:numPr>
        <w:spacing w:after="60" w:line="264"/>
      </w:pPr>
      <w:r>
        <w:rPr>
          <w:rFonts w:ascii="Arial" w:cs="Arial" w:eastAsia="Arial" w:hAnsi="Arial"/>
          <w:sz w:val="20"/>
          <w:szCs w:val="20"/>
        </w:rPr>
        <w:t xml:space="preserve">Every notification tracks sent, delivered, opened and acknowledged; this is how the 99% critical-delivery KPI is measured.</w:t>
      </w:r>
    </w:p>
    <w:p>
      <w:pPr>
        <w:pStyle w:val="Heading2"/>
        <w:spacing w:after="100" w:before="220"/>
      </w:pPr>
      <w:r>
        <w:rPr>
          <w:rFonts w:ascii="Arial" w:cs="Arial" w:eastAsia="Arial" w:hAnsi="Arial"/>
          <w:b/>
          <w:bCs/>
          <w:color w:val="1B3A5C"/>
          <w:sz w:val="24"/>
          <w:szCs w:val="24"/>
        </w:rPr>
        <w:t xml:space="preserve">6.5 Ratio engine (designed in Phase 1, built in Phase 2)</w:t>
      </w:r>
    </w:p>
    <w:p>
      <w:pPr>
        <w:spacing w:after="120" w:line="276"/>
      </w:pPr>
      <w:r>
        <w:rPr>
          <w:rFonts w:ascii="Arial" w:cs="Arial" w:eastAsia="Arial" w:hAnsi="Arial"/>
          <w:sz w:val="20"/>
          <w:szCs w:val="20"/>
        </w:rPr>
        <w:t xml:space="preserve">Phase 1 only needs to avoid blocking it: store child dates of birth, accurate sign-in/out events and room assignments, and keep qualification data structured. The rule engine itself (BRD §13A) is versioned configuration, validated against the ACECQA calculator.</w:t>
      </w:r>
    </w:p>
    <w:p>
      <w:pPr>
        <w:pStyle w:val="Heading1"/>
        <w:spacing w:after="140" w:before="320"/>
      </w:pPr>
      <w:r>
        <w:rPr>
          <w:rFonts w:ascii="Arial" w:cs="Arial" w:eastAsia="Arial" w:hAnsi="Arial"/>
          <w:b/>
          <w:bCs/>
          <w:color w:val="1B3A5C"/>
          <w:sz w:val="30"/>
          <w:szCs w:val="30"/>
        </w:rPr>
        <w:t xml:space="preserve">7. Phase 2 and Phase 3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783"/>
        <w:gridCol w:w="2217"/>
      </w:tblGrid>
      <w:tr>
        <w:trPr>
          <w:tblHeader/>
        </w:trPr>
        <w:tc>
          <w:tcPr>
            <w:tcW w:type="dxa" w:w="16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Stream</w:t>
            </w:r>
          </w:p>
        </w:tc>
        <w:tc>
          <w:tcPr>
            <w:tcW w:type="dxa" w:w="578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Scope</w:t>
            </w:r>
          </w:p>
        </w:tc>
        <w:tc>
          <w:tcPr>
            <w:tcW w:type="dxa" w:w="221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Rough duration</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2A Learning</w:t>
            </w:r>
          </w:p>
        </w:tc>
        <w:tc>
          <w:tcPr>
            <w:tcW w:type="dxa" w:w="578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EYLF V2.0 / MTOP V2.0 observation workflow, evidence linking, approval history, search (EDU-004/005, PAR-010).</w:t>
            </w:r>
          </w:p>
        </w:tc>
        <w:tc>
          <w:tcPr>
            <w:tcW w:type="dxa" w:w="221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Months 1–4 after GA</w:t>
            </w:r>
          </w:p>
        </w:tc>
      </w:tr>
      <w:tr>
        <w:trPr>
          <w:cantSplit/>
        </w:trPr>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2B Enrolment</w:t>
            </w:r>
          </w:p>
        </w:tc>
        <w:tc>
          <w:tcPr>
            <w:tcW w:type="dxa" w:w="578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Enquiry, waitlist, offer, enrolment, document completion, onboarding.</w:t>
            </w:r>
          </w:p>
        </w:tc>
        <w:tc>
          <w:tcPr>
            <w:tcW w:type="dxa" w:w="221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Months 1–4 after GA</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2C Staff &amp; ratios</w:t>
            </w:r>
          </w:p>
        </w:tc>
        <w:tc>
          <w:tcPr>
            <w:tcW w:type="dxa" w:w="578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 profiles, qualification and checks expiry, educator presence, live ratio engine, alerts, audit and reports (RAT-001 to RAT-014).</w:t>
            </w:r>
          </w:p>
        </w:tc>
        <w:tc>
          <w:tcPr>
            <w:tcW w:type="dxa" w:w="221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Months 3–6 after GA</w:t>
            </w:r>
          </w:p>
        </w:tc>
      </w:tr>
      <w:tr>
        <w:trPr>
          <w:cantSplit/>
        </w:trPr>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2D Rostering</w:t>
            </w:r>
          </w:p>
        </w:tc>
        <w:tc>
          <w:tcPr>
            <w:tcW w:type="dxa" w:w="578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planning, forecast vs rostered, break cover, availability and leave, timesheet export (ROS-001 to ROS-010).</w:t>
            </w:r>
          </w:p>
        </w:tc>
        <w:tc>
          <w:tcPr>
            <w:tcW w:type="dxa" w:w="221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Months 4–7 after GA</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w:t>
            </w:r>
          </w:p>
        </w:tc>
        <w:tc>
          <w:tcPr>
            <w:tcW w:type="dxa" w:w="578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assistant and documentation help (draft-only, human approval), advanced analytics, multilingual, enterprise multi-site and SSO, data migration tooling.</w:t>
            </w:r>
          </w:p>
        </w:tc>
        <w:tc>
          <w:tcPr>
            <w:tcW w:type="dxa" w:w="221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Ongoing</w:t>
            </w:r>
          </w:p>
        </w:tc>
      </w:tr>
    </w:tbl>
    <w:p>
      <w:pPr>
        <w:spacing w:after="80"/>
      </w:pPr>
    </w:p>
    <w:p>
      <w:pPr>
        <w:spacing w:after="120" w:line="276"/>
      </w:pPr>
      <w:r>
        <w:rPr>
          <w:rFonts w:ascii="Arial" w:cs="Arial" w:eastAsia="Arial" w:hAnsi="Arial"/>
          <w:color w:val="5A6472"/>
          <w:sz w:val="18"/>
          <w:szCs w:val="18"/>
        </w:rPr>
        <w:t xml:space="preserve">Order is a recommendation: learning and enrolment first because they carry Must requirements and revenue; ratios before rostering because rostering validates against the ratio engine.</w:t>
      </w:r>
    </w:p>
    <w:p>
      <w:pPr>
        <w:pStyle w:val="Heading1"/>
        <w:spacing w:after="140" w:before="320"/>
      </w:pPr>
      <w:r>
        <w:rPr>
          <w:rFonts w:ascii="Arial" w:cs="Arial" w:eastAsia="Arial" w:hAnsi="Arial"/>
          <w:b/>
          <w:bCs/>
          <w:color w:val="1B3A5C"/>
          <w:sz w:val="30"/>
          <w:szCs w:val="30"/>
        </w:rPr>
        <w:t xml:space="preserve">8.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819"/>
        <w:gridCol w:w="3181"/>
      </w:tblGrid>
      <w:tr>
        <w:trPr>
          <w:tblHeader/>
        </w:trPr>
        <w:tc>
          <w:tcPr>
            <w:tcW w:type="dxa" w:w="16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Squad / role</w:t>
            </w:r>
          </w:p>
        </w:tc>
        <w:tc>
          <w:tcPr>
            <w:tcW w:type="dxa" w:w="481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People (Phase 1)</w:t>
            </w:r>
          </w:p>
        </w:tc>
        <w:tc>
          <w:tcPr>
            <w:tcW w:type="dxa" w:w="318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Focus</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w:t>
            </w:r>
          </w:p>
        </w:tc>
        <w:tc>
          <w:tcPr>
            <w:tcW w:type="dxa" w:w="481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tech lead / architect, 3 backend, 1 DevOps/SRE, 1 mobile (sync specialist)</w:t>
            </w:r>
          </w:p>
        </w:tc>
        <w:tc>
          <w:tcPr>
            <w:tcW w:type="dxa" w:w="318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Identity, tenancy, audit, sync, notifications, infrastructure, observability</w:t>
            </w:r>
          </w:p>
        </w:tc>
      </w:tr>
      <w:tr>
        <w:trPr>
          <w:cantSplit/>
        </w:trPr>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Care</w:t>
            </w:r>
          </w:p>
        </w:tc>
        <w:tc>
          <w:tcPr>
            <w:tcW w:type="dxa" w:w="481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 mobile, 1 backend, 1 web, 1 designer</w:t>
            </w:r>
          </w:p>
        </w:tc>
        <w:tc>
          <w:tcPr>
            <w:tcW w:type="dxa" w:w="318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and parent apps, portal care modules</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Money</w:t>
            </w:r>
          </w:p>
        </w:tc>
        <w:tc>
          <w:tcPr>
            <w:tcW w:type="dxa" w:w="481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 backend, 1 web/mobile, 1 payments/CCS specialist</w:t>
            </w:r>
          </w:p>
        </w:tc>
        <w:tc>
          <w:tcPr>
            <w:tcW w:type="dxa" w:w="318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payments, CCS integration, reconciliation</w:t>
            </w:r>
          </w:p>
        </w:tc>
      </w:tr>
      <w:tr>
        <w:trPr>
          <w:cantSplit/>
        </w:trPr>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Quality</w:t>
            </w:r>
          </w:p>
        </w:tc>
        <w:tc>
          <w:tcPr>
            <w:tcW w:type="dxa" w:w="481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 QA (one automation), shared across squads</w:t>
            </w:r>
          </w:p>
        </w:tc>
        <w:tc>
          <w:tcPr>
            <w:tcW w:type="dxa" w:w="318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Sync, authorisation, billing golden cases, E2E</w:t>
            </w:r>
          </w:p>
        </w:tc>
      </w:tr>
      <w:tr>
        <w:trPr>
          <w:cantSplit/>
        </w:trPr>
        <w:tc>
          <w:tcPr>
            <w:tcW w:type="dxa" w:w="16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481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product manager, 1 childcare domain advisor (part-time), 1 UX researcher (first 3 months)</w:t>
            </w:r>
          </w:p>
        </w:tc>
        <w:tc>
          <w:tcPr>
            <w:tcW w:type="dxa" w:w="318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Scope, discovery, pilot, KPIs</w:t>
            </w:r>
          </w:p>
        </w:tc>
      </w:tr>
      <w:tr>
        <w:trPr>
          <w:cantSplit/>
        </w:trPr>
        <w:tc>
          <w:tcPr>
            <w:tcW w:type="dxa" w:w="16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Fractional</w:t>
            </w:r>
          </w:p>
        </w:tc>
        <w:tc>
          <w:tcPr>
            <w:tcW w:type="dxa" w:w="481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 engineer, privacy/legal adviser, accessibility reviewer</w:t>
            </w:r>
          </w:p>
        </w:tc>
        <w:tc>
          <w:tcPr>
            <w:tcW w:type="dxa" w:w="318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Threat model, PIA, CCS and payments compliance, WCAG audit</w:t>
            </w:r>
          </w:p>
        </w:tc>
      </w:tr>
    </w:tbl>
    <w:p>
      <w:pPr>
        <w:spacing w:after="80"/>
      </w:pPr>
    </w:p>
    <w:p>
      <w:pPr>
        <w:spacing w:after="120" w:line="276"/>
      </w:pPr>
      <w:r>
        <w:rPr>
          <w:rFonts w:ascii="Arial" w:cs="Arial" w:eastAsia="Arial" w:hAnsi="Arial"/>
          <w:sz w:val="20"/>
          <w:szCs w:val="20"/>
        </w:rPr>
        <w:t xml:space="preserve">Phase 2 adds one backend engineer for ratios and one for rostering, and a compliance/integration specialist.</w:t>
      </w:r>
    </w:p>
    <w:p>
      <w:pPr>
        <w:pStyle w:val="Heading1"/>
        <w:spacing w:after="140" w:before="320"/>
      </w:pPr>
      <w:r>
        <w:rPr>
          <w:rFonts w:ascii="Arial" w:cs="Arial" w:eastAsia="Arial" w:hAnsi="Arial"/>
          <w:b/>
          <w:bCs/>
          <w:color w:val="1B3A5C"/>
          <w:sz w:val="30"/>
          <w:szCs w:val="30"/>
        </w:rPr>
        <w:t xml:space="preserve">9. Quality, security and delivery practice</w:t>
      </w:r>
    </w:p>
    <w:p>
      <w:pPr>
        <w:pStyle w:val="Heading2"/>
        <w:spacing w:after="100" w:before="220"/>
      </w:pPr>
      <w:r>
        <w:rPr>
          <w:rFonts w:ascii="Arial" w:cs="Arial" w:eastAsia="Arial" w:hAnsi="Arial"/>
          <w:b/>
          <w:bCs/>
          <w:color w:val="1B3A5C"/>
          <w:sz w:val="24"/>
          <w:szCs w:val="24"/>
        </w:rPr>
        <w:t xml:space="preserve">Definition of done</w:t>
      </w:r>
    </w:p>
    <w:p>
      <w:pPr>
        <w:pStyle w:val="ListParagraph"/>
        <w:numPr>
          <w:ilvl w:val="0"/>
          <w:numId w:val="2"/>
        </w:numPr>
        <w:spacing w:after="60" w:line="264"/>
      </w:pPr>
      <w:r>
        <w:rPr>
          <w:rFonts w:ascii="Arial" w:cs="Arial" w:eastAsia="Arial" w:hAnsi="Arial"/>
          <w:sz w:val="20"/>
          <w:szCs w:val="20"/>
        </w:rPr>
        <w:t xml:space="preserve">Unit and API tests pass; the access-control matrix test covers the new endpoints.</w:t>
      </w:r>
    </w:p>
    <w:p>
      <w:pPr>
        <w:pStyle w:val="ListParagraph"/>
        <w:numPr>
          <w:ilvl w:val="0"/>
          <w:numId w:val="2"/>
        </w:numPr>
        <w:spacing w:after="60" w:line="264"/>
      </w:pPr>
      <w:r>
        <w:rPr>
          <w:rFonts w:ascii="Arial" w:cs="Arial" w:eastAsia="Arial" w:hAnsi="Arial"/>
          <w:sz w:val="20"/>
          <w:szCs w:val="20"/>
        </w:rPr>
        <w:t xml:space="preserve">New sensitive actions write to the audit log.</w:t>
      </w:r>
    </w:p>
    <w:p>
      <w:pPr>
        <w:pStyle w:val="ListParagraph"/>
        <w:numPr>
          <w:ilvl w:val="0"/>
          <w:numId w:val="2"/>
        </w:numPr>
        <w:spacing w:after="60" w:line="264"/>
      </w:pPr>
      <w:r>
        <w:rPr>
          <w:rFonts w:ascii="Arial" w:cs="Arial" w:eastAsia="Arial" w:hAnsi="Arial"/>
          <w:sz w:val="20"/>
          <w:szCs w:val="20"/>
        </w:rPr>
        <w:t xml:space="preserve">Works offline where the requirement says so, tested on a real device.</w:t>
      </w:r>
    </w:p>
    <w:p>
      <w:pPr>
        <w:pStyle w:val="ListParagraph"/>
        <w:numPr>
          <w:ilvl w:val="0"/>
          <w:numId w:val="2"/>
        </w:numPr>
        <w:spacing w:after="60" w:line="264"/>
      </w:pPr>
      <w:r>
        <w:rPr>
          <w:rFonts w:ascii="Arial" w:cs="Arial" w:eastAsia="Arial" w:hAnsi="Arial"/>
          <w:sz w:val="20"/>
          <w:szCs w:val="20"/>
        </w:rPr>
        <w:t xml:space="preserve">Accessibility checked; analytics and error tracking in place; feature flag per centre.</w:t>
      </w:r>
    </w:p>
    <w:p>
      <w:pPr>
        <w:pStyle w:val="Heading2"/>
        <w:spacing w:after="100" w:before="220"/>
      </w:pPr>
      <w:r>
        <w:rPr>
          <w:rFonts w:ascii="Arial" w:cs="Arial" w:eastAsia="Arial" w:hAnsi="Arial"/>
          <w:b/>
          <w:bCs/>
          <w:color w:val="1B3A5C"/>
          <w:sz w:val="24"/>
          <w:szCs w:val="24"/>
        </w:rPr>
        <w:t xml:space="preserve">Quality gates in CI</w:t>
      </w:r>
    </w:p>
    <w:p>
      <w:pPr>
        <w:pStyle w:val="ListParagraph"/>
        <w:numPr>
          <w:ilvl w:val="0"/>
          <w:numId w:val="2"/>
        </w:numPr>
        <w:spacing w:after="60" w:line="264"/>
      </w:pPr>
      <w:r>
        <w:rPr>
          <w:rFonts w:ascii="Arial" w:cs="Arial" w:eastAsia="Arial" w:hAnsi="Arial"/>
          <w:sz w:val="20"/>
          <w:szCs w:val="20"/>
        </w:rPr>
        <w:t xml:space="preserve">Tests green, coverage floor on core modules (ledger, sync, authorisation), static analysis, dependency, container and infrastructure scans with no high or critical findings.</w:t>
      </w:r>
    </w:p>
    <w:p>
      <w:pPr>
        <w:pStyle w:val="ListParagraph"/>
        <w:numPr>
          <w:ilvl w:val="0"/>
          <w:numId w:val="2"/>
        </w:numPr>
        <w:spacing w:after="60" w:line="264"/>
      </w:pPr>
      <w:r>
        <w:rPr>
          <w:rFonts w:ascii="Arial" w:cs="Arial" w:eastAsia="Arial" w:hAnsi="Arial"/>
          <w:sz w:val="20"/>
          <w:szCs w:val="20"/>
        </w:rPr>
        <w:t xml:space="preserve">Database migrations reviewed and reversible; no direct production access without an audited break-glass process.</w:t>
      </w:r>
    </w:p>
    <w:p>
      <w:pPr>
        <w:pStyle w:val="Heading2"/>
        <w:spacing w:after="100" w:before="220"/>
      </w:pPr>
      <w:r>
        <w:rPr>
          <w:rFonts w:ascii="Arial" w:cs="Arial" w:eastAsia="Arial" w:hAnsi="Arial"/>
          <w:b/>
          <w:bCs/>
          <w:color w:val="1B3A5C"/>
          <w:sz w:val="24"/>
          <w:szCs w:val="24"/>
        </w:rPr>
        <w:t xml:space="preserve">Compliance workstream (continuous)</w:t>
      </w:r>
    </w:p>
    <w:p>
      <w:pPr>
        <w:pStyle w:val="ListParagraph"/>
        <w:numPr>
          <w:ilvl w:val="0"/>
          <w:numId w:val="2"/>
        </w:numPr>
        <w:spacing w:after="60" w:line="264"/>
      </w:pPr>
      <w:r>
        <w:rPr>
          <w:rFonts w:ascii="Arial" w:cs="Arial" w:eastAsia="Arial" w:hAnsi="Arial"/>
          <w:sz w:val="20"/>
          <w:szCs w:val="20"/>
        </w:rPr>
        <w:t xml:space="preserve">Threat model at the end of discovery and each release train. Privacy impact assessment against the Australian Privacy Principles; check the status of the Children's Online Privacy Code with the OAIC before launch.</w:t>
      </w:r>
    </w:p>
    <w:p>
      <w:pPr>
        <w:pStyle w:val="ListParagraph"/>
        <w:numPr>
          <w:ilvl w:val="0"/>
          <w:numId w:val="2"/>
        </w:numPr>
        <w:spacing w:after="60" w:line="264"/>
      </w:pPr>
      <w:r>
        <w:rPr>
          <w:rFonts w:ascii="Arial" w:cs="Arial" w:eastAsia="Arial" w:hAnsi="Arial"/>
          <w:sz w:val="20"/>
          <w:szCs w:val="20"/>
        </w:rPr>
        <w:t xml:space="preserve">Align to the ASD Essential Eight; plan ISO 27001 or SOC 2 readiness once the product is stable, because enterprise operators will ask.</w:t>
      </w:r>
    </w:p>
    <w:p>
      <w:pPr>
        <w:pStyle w:val="ListParagraph"/>
        <w:numPr>
          <w:ilvl w:val="0"/>
          <w:numId w:val="2"/>
        </w:numPr>
        <w:spacing w:after="60" w:line="264"/>
      </w:pPr>
      <w:r>
        <w:rPr>
          <w:rFonts w:ascii="Arial" w:cs="Arial" w:eastAsia="Arial" w:hAnsi="Arial"/>
          <w:sz w:val="20"/>
          <w:szCs w:val="20"/>
        </w:rPr>
        <w:t xml:space="preserve">Independent legal review of privacy, CCS and payment terms before pilot.</w:t>
      </w:r>
    </w:p>
    <w:p>
      <w:pPr>
        <w:pStyle w:val="ListParagraph"/>
        <w:numPr>
          <w:ilvl w:val="0"/>
          <w:numId w:val="2"/>
        </w:numPr>
        <w:spacing w:after="60" w:line="264"/>
      </w:pPr>
      <w:r>
        <w:rPr>
          <w:rFonts w:ascii="Arial" w:cs="Arial" w:eastAsia="Arial" w:hAnsi="Arial"/>
          <w:sz w:val="20"/>
          <w:szCs w:val="20"/>
        </w:rPr>
        <w:t xml:space="preserve">Notifiable Data Breach runbook rehearsed before pilot.</w:t>
      </w:r>
    </w:p>
    <w:p>
      <w:pPr>
        <w:pStyle w:val="Heading2"/>
        <w:spacing w:after="100" w:before="220"/>
      </w:pPr>
      <w:r>
        <w:rPr>
          <w:rFonts w:ascii="Arial" w:cs="Arial" w:eastAsia="Arial" w:hAnsi="Arial"/>
          <w:b/>
          <w:bCs/>
          <w:color w:val="1B3A5C"/>
          <w:sz w:val="24"/>
          <w:szCs w:val="24"/>
        </w:rPr>
        <w:t xml:space="preserve">Pilot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Measure</w:t>
            </w:r>
          </w:p>
        </w:tc>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Target</w:t>
            </w:r>
          </w:p>
        </w:tc>
      </w:tr>
      <w:tr>
        <w:trPr>
          <w:cantSplit/>
        </w:trPr>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documentation time</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40% or more reduction against the pre-pilot baseline</w:t>
            </w:r>
          </w:p>
        </w:tc>
      </w:tr>
      <w:tr>
        <w:trPr>
          <w:cantSplit/>
        </w:trPr>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Critical notification delivery</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 or more</w:t>
            </w:r>
          </w:p>
        </w:tc>
      </w:tr>
      <w:tr>
        <w:trPr>
          <w:cantSplit/>
        </w:trPr>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 availability</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99.9% or more</w:t>
            </w:r>
          </w:p>
        </w:tc>
      </w:tr>
      <w:tr>
        <w:trPr>
          <w:cantSplit/>
        </w:trPr>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Unexplained billing discrepancies</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Zero platform-attributable</w:t>
            </w:r>
          </w:p>
        </w:tc>
      </w:tr>
      <w:tr>
        <w:trPr>
          <w:cantSplit/>
        </w:trPr>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task completion without support</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90% or more</w:t>
            </w:r>
          </w:p>
        </w:tc>
      </w:tr>
      <w:tr>
        <w:trPr>
          <w:cantSplit/>
        </w:trPr>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Key child information visible in</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10 seconds or less</w:t>
            </w:r>
          </w:p>
        </w:tc>
      </w:tr>
    </w:tbl>
    <w:p>
      <w:pPr>
        <w:spacing w:after="80"/>
      </w:pPr>
    </w:p>
    <w:p>
      <w:pPr>
        <w:pStyle w:val="Heading1"/>
        <w:spacing w:after="140" w:before="320"/>
      </w:pPr>
      <w:r>
        <w:rPr>
          <w:rFonts w:ascii="Arial" w:cs="Arial" w:eastAsia="Arial" w:hAnsi="Arial"/>
          <w:b/>
          <w:bCs/>
          <w:color w:val="1B3A5C"/>
          <w:sz w:val="30"/>
          <w:szCs w:val="30"/>
        </w:rPr>
        <w:t xml:space="preserve">10. Risks and critical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Risk</w:t>
            </w:r>
          </w:p>
        </w:tc>
        <w:tc>
          <w:tcPr>
            <w:tcW w:type="dxa" w:w="289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Why it matters now</w:t>
            </w:r>
          </w:p>
        </w:tc>
        <w:tc>
          <w:tcPr>
            <w:tcW w:type="dxa" w:w="443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Response</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delays</w:t>
            </w:r>
          </w:p>
        </w:tc>
        <w:tc>
          <w:tcPr>
            <w:tcW w:type="dxa" w:w="2891"/>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Now on the Phase 1 critical path; outside the team's control</w:t>
            </w:r>
          </w:p>
        </w:tc>
        <w:tc>
          <w:tcPr>
            <w:tcW w:type="dxa" w:w="443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Submit in month 1; plan conformance testing into the schedule; decide on the registered-partner fallback by G2.</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correctness</w:t>
            </w:r>
          </w:p>
        </w:tc>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Errors erode trust and cost money</w:t>
            </w:r>
          </w:p>
        </w:tc>
        <w:tc>
          <w:tcPr>
            <w:tcW w:type="dxa" w:w="443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Ledger design, golden-case tests with a domain expert, parallel run in pilot, daily reconciliation.</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sync conflicts</w:t>
            </w:r>
          </w:p>
        </w:tc>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Wrong records, medication safety</w:t>
            </w:r>
          </w:p>
        </w:tc>
        <w:tc>
          <w:tcPr>
            <w:tcW w:type="dxa" w:w="443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Event-based records, explicit conflict rules, hard conflicts for medication, multi-device tests.</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Child-data exposure</w:t>
            </w:r>
          </w:p>
        </w:tc>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Severe privacy and safety harm</w:t>
            </w:r>
          </w:p>
        </w:tc>
        <w:tc>
          <w:tcPr>
            <w:tcW w:type="dxa" w:w="443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Row-level security, central authorisation, relationship-based access tests on every build, pen test.</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Scope creep (observations, ratios)</w:t>
            </w:r>
          </w:p>
        </w:tc>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is already large</w:t>
            </w:r>
          </w:p>
        </w:tc>
        <w:tc>
          <w:tcPr>
            <w:tcW w:type="dxa" w:w="443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 OI-04 early; hold the line on Phase 2 items; change control through the product manager.</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reliability</w:t>
            </w:r>
          </w:p>
        </w:tc>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Parents miss urgent events</w:t>
            </w:r>
          </w:p>
        </w:tc>
        <w:tc>
          <w:tcPr>
            <w:tcW w:type="dxa" w:w="443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classes, fallback channels, delivery tracking, dashboards.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Hiring the sync and payments specialists</w:t>
            </w:r>
          </w:p>
        </w:tc>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Scarce skills; slow hiring delays R0 and R3</w:t>
            </w:r>
          </w:p>
        </w:tc>
        <w:tc>
          <w:tcPr>
            <w:tcW w:type="dxa" w:w="443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Start hiring before kickoff; use a specialist contractor to bridge.</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Wrong ratio rules</w:t>
            </w:r>
          </w:p>
        </w:tc>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Undetected compliance breach in Phase 2</w:t>
            </w:r>
          </w:p>
        </w:tc>
        <w:tc>
          <w:tcPr>
            <w:tcW w:type="dxa" w:w="443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as dated configuration; validate against the ACECQA calculator; monitor regulatory changes.</w:t>
            </w:r>
          </w:p>
        </w:tc>
      </w:tr>
    </w:tbl>
    <w:p>
      <w:pPr>
        <w:spacing w:after="80"/>
      </w:pPr>
    </w:p>
    <w:p>
      <w:pPr>
        <w:pStyle w:val="Heading1"/>
        <w:spacing w:after="140" w:before="320"/>
      </w:pPr>
      <w:r>
        <w:rPr>
          <w:rFonts w:ascii="Arial" w:cs="Arial" w:eastAsia="Arial" w:hAnsi="Arial"/>
          <w:b/>
          <w:bCs/>
          <w:color w:val="1B3A5C"/>
          <w:sz w:val="30"/>
          <w:szCs w:val="30"/>
        </w:rPr>
        <w:t xml:space="preserve">11. Effort and cost signal</w:t>
      </w:r>
    </w:p>
    <w:p>
      <w:pPr>
        <w:spacing w:after="120" w:line="276"/>
      </w:pPr>
      <w:r>
        <w:rPr>
          <w:rFonts w:ascii="Arial" w:cs="Arial" w:eastAsia="Arial" w:hAnsi="Arial"/>
          <w:sz w:val="20"/>
          <w:szCs w:val="20"/>
        </w:rPr>
        <w:t xml:space="preserve">These are order-of-magnitude figures to help plan, not a quote. They assume the team shape in section 8 and the timeline in section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2506"/>
        <w:gridCol w:w="3277"/>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c>
          <w:tcPr>
            <w:tcW w:type="dxa" w:w="154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Duration</w:t>
            </w:r>
          </w:p>
        </w:tc>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Effort</w:t>
            </w:r>
          </w:p>
        </w:tc>
        <w:tc>
          <w:tcPr>
            <w:tcW w:type="dxa" w:w="327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Notes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0 + Phase 1 (to GA)</w:t>
            </w:r>
          </w:p>
        </w:tc>
        <w:tc>
          <w:tcPr>
            <w:tcW w:type="dxa" w:w="154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13–14 months</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160–210 person-months</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and CCS add roughly 40–50 person-months compared with a care-only MVP.</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6–7 months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70–95 person-months</w:t>
            </w:r>
          </w:p>
        </w:tc>
        <w:tc>
          <w:tcPr>
            <w:tcW w:type="dxa" w:w="327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enrolment, staff, ratios, rostering.</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Run costs (ongoing)</w:t>
            </w:r>
          </w:p>
        </w:tc>
        <w:tc>
          <w:tcPr>
            <w:tcW w:type="dxa" w:w="154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From pilot</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Cloud, gateway fees, SMS/email, monitoring, support</w:t>
            </w:r>
          </w:p>
        </w:tc>
        <w:tc>
          <w:tcPr>
            <w:tcW w:type="dxa" w:w="327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Estimate once the architecture and gateway are chosen.</w:t>
            </w:r>
          </w:p>
        </w:tc>
      </w:tr>
    </w:tbl>
    <w:p>
      <w:pPr>
        <w:spacing w:after="80"/>
      </w:pPr>
    </w:p>
    <w:p>
      <w:pPr>
        <w:spacing w:after="120" w:line="276"/>
      </w:pPr>
      <w:r>
        <w:rPr>
          <w:rFonts w:ascii="Arial" w:cs="Arial" w:eastAsia="Arial" w:hAnsi="Arial"/>
          <w:sz w:val="20"/>
          <w:szCs w:val="20"/>
        </w:rPr>
        <w:t xml:space="preserve">Cost depends heavily on team location and mix (onshore Australian, India-based, or blended). Tell me the team model and I will turn this into a costed estimate.</w:t>
      </w:r>
    </w:p>
    <w:p>
      <w:pPr>
        <w:pStyle w:val="Heading1"/>
        <w:spacing w:after="140" w:before="320"/>
      </w:pPr>
      <w:r>
        <w:rPr>
          <w:rFonts w:ascii="Arial" w:cs="Arial" w:eastAsia="Arial" w:hAnsi="Arial"/>
          <w:b/>
          <w:bCs/>
          <w:color w:val="1B3A5C"/>
          <w:sz w:val="30"/>
          <w:szCs w:val="30"/>
        </w:rPr>
        <w:t xml:space="preserve">12. First 30 days and decisions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168"/>
        <w:gridCol w:w="2121"/>
      </w:tblGrid>
      <w:tr>
        <w:trPr>
          <w:tblHeader/>
        </w:trPr>
        <w:tc>
          <w:tcPr>
            <w:tcW w:type="dxa" w:w="134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When</w:t>
            </w:r>
          </w:p>
        </w:tc>
        <w:tc>
          <w:tcPr>
            <w:tcW w:type="dxa" w:w="616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Action</w:t>
            </w:r>
          </w:p>
        </w:tc>
        <w:tc>
          <w:tcPr>
            <w:tcW w:type="dxa" w:w="212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Owner</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1</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Start the CCS software-provider registration enquiry with the Department of Education and Services Australia; confirm the registration route, timeline and testing requirements.</w:t>
            </w:r>
          </w:p>
        </w:tc>
        <w:tc>
          <w:tcPr>
            <w:tcW w:type="dxa" w:w="212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Compliance</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1</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Decide team model and start hiring the sync and payments specialists.</w:t>
            </w:r>
          </w:p>
        </w:tc>
        <w:tc>
          <w:tcPr>
            <w:tcW w:type="dxa" w:w="212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Sponsor</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1–2</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 OI-04 (observations in Phase 1) and OI-05 (CCS route and fallback).</w:t>
            </w:r>
          </w:p>
        </w:tc>
        <w:tc>
          <w:tcPr>
            <w:tcW w:type="dxa" w:w="212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1–4</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Book discovery interviews (directors, educators, parents) and 2–3 pilot centres; record the documentation-time baseline.</w:t>
            </w:r>
          </w:p>
        </w:tc>
        <w:tc>
          <w:tcPr>
            <w:tcW w:type="dxa" w:w="212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UX</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2–4</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Produce the domain model (organisation, centre, room, child, guardian relationship, permission) and the sync design document.</w:t>
            </w:r>
          </w:p>
        </w:tc>
        <w:tc>
          <w:tcPr>
            <w:tcW w:type="dxa" w:w="212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2–4</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Select the payment gateway (OI-06) and the identity provider.</w:t>
            </w:r>
          </w:p>
        </w:tc>
        <w:tc>
          <w:tcPr>
            <w:tcW w:type="dxa" w:w="212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 / Finance</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2–6</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Prototype and test the three highest-value screens: Child at a Glance, educator group logging, live attendance in the portal; plus the parent invoice.</w:t>
            </w:r>
          </w:p>
        </w:tc>
        <w:tc>
          <w:tcPr>
            <w:tcW w:type="dxa" w:w="212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UX</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3–6</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Stand up repositories, CI/CD, infrastructure as code and the four environments in Sydney.</w:t>
            </w:r>
          </w:p>
        </w:tc>
        <w:tc>
          <w:tcPr>
            <w:tcW w:type="dxa" w:w="212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DevOps</w:t>
            </w:r>
          </w:p>
        </w:tc>
      </w:tr>
      <w:tr>
        <w:trPr>
          <w:cantSplit/>
        </w:trPr>
        <w:tc>
          <w:tcPr>
            <w:tcW w:type="dxa" w:w="134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Week 4–8</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Threat model, privacy impact assessment kickoff, golden-case billing scenarios with a billing expert.</w:t>
            </w:r>
          </w:p>
        </w:tc>
        <w:tc>
          <w:tcPr>
            <w:tcW w:type="dxa" w:w="212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 / Product</w:t>
            </w:r>
          </w:p>
        </w:tc>
      </w:tr>
      <w:tr>
        <w:trPr>
          <w:cantSplit/>
        </w:trPr>
        <w:tc>
          <w:tcPr>
            <w:tcW w:type="dxa" w:w="134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By week 8</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 OI-01 to OI-03 (performance, RPO/RTO, accessibility) so R0 builds to real targets.</w:t>
            </w:r>
          </w:p>
        </w:tc>
        <w:tc>
          <w:tcPr>
            <w:tcW w:type="dxa" w:w="212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r>
    </w:tbl>
    <w:p>
      <w:pPr>
        <w:spacing w:after="80"/>
      </w:pPr>
    </w:p>
    <w:p>
      <w:pPr>
        <w:pStyle w:val="Heading2"/>
        <w:spacing w:after="100" w:before="220"/>
      </w:pPr>
      <w:r>
        <w:rPr>
          <w:rFonts w:ascii="Arial" w:cs="Arial" w:eastAsia="Arial" w:hAnsi="Arial"/>
          <w:b/>
          <w:bCs/>
          <w:color w:val="1B3A5C"/>
          <w:sz w:val="24"/>
          <w:szCs w:val="24"/>
        </w:rPr>
        <w:t xml:space="preserve">Decisions I need from you</w:t>
      </w:r>
    </w:p>
    <w:p>
      <w:pPr>
        <w:pStyle w:val="ListParagraph"/>
        <w:numPr>
          <w:ilvl w:val="0"/>
          <w:numId w:val="2"/>
        </w:numPr>
        <w:spacing w:after="60" w:line="264"/>
      </w:pPr>
      <w:r>
        <w:rPr>
          <w:rFonts w:ascii="Arial" w:cs="Arial" w:eastAsia="Arial" w:hAnsi="Arial"/>
          <w:b/>
          <w:bCs/>
          <w:sz w:val="20"/>
          <w:szCs w:val="20"/>
        </w:rPr>
        <w:t xml:space="preserve">Team model: </w:t>
      </w:r>
      <w:r>
        <w:rPr>
          <w:rFonts w:ascii="Arial" w:cs="Arial" w:eastAsia="Arial" w:hAnsi="Arial"/>
          <w:sz w:val="20"/>
          <w:szCs w:val="20"/>
        </w:rPr>
        <w:t xml:space="preserve">onshore Australian, India-based, or blended? This sets cost and timeline confidence.</w:t>
      </w:r>
    </w:p>
    <w:p>
      <w:pPr>
        <w:pStyle w:val="ListParagraph"/>
        <w:numPr>
          <w:ilvl w:val="0"/>
          <w:numId w:val="2"/>
        </w:numPr>
        <w:spacing w:after="60" w:line="264"/>
      </w:pPr>
      <w:r>
        <w:rPr>
          <w:rFonts w:ascii="Arial" w:cs="Arial" w:eastAsia="Arial" w:hAnsi="Arial"/>
          <w:b/>
          <w:bCs/>
          <w:sz w:val="20"/>
          <w:szCs w:val="20"/>
        </w:rPr>
        <w:t xml:space="preserve">CCS route: </w:t>
      </w:r>
      <w:r>
        <w:rPr>
          <w:rFonts w:ascii="Arial" w:cs="Arial" w:eastAsia="Arial" w:hAnsi="Arial"/>
          <w:sz w:val="20"/>
          <w:szCs w:val="20"/>
        </w:rPr>
        <w:t xml:space="preserve">register directly, or partner with a registered provider for the first release?</w:t>
      </w:r>
    </w:p>
    <w:p>
      <w:pPr>
        <w:pStyle w:val="ListParagraph"/>
        <w:numPr>
          <w:ilvl w:val="0"/>
          <w:numId w:val="2"/>
        </w:numPr>
        <w:spacing w:after="60" w:line="264"/>
      </w:pPr>
      <w:r>
        <w:rPr>
          <w:rFonts w:ascii="Arial" w:cs="Arial" w:eastAsia="Arial" w:hAnsi="Arial"/>
          <w:b/>
          <w:bCs/>
          <w:sz w:val="20"/>
          <w:szCs w:val="20"/>
        </w:rPr>
        <w:t xml:space="preserve">Observations in Phase 1: </w:t>
      </w:r>
      <w:r>
        <w:rPr>
          <w:rFonts w:ascii="Arial" w:cs="Arial" w:eastAsia="Arial" w:hAnsi="Arial"/>
          <w:sz w:val="20"/>
          <w:szCs w:val="20"/>
        </w:rPr>
        <w:t xml:space="preserve">is a thin observation-capture slice required at launch (OI-04)?</w:t>
      </w:r>
    </w:p>
    <w:p>
      <w:pPr>
        <w:pStyle w:val="ListParagraph"/>
        <w:numPr>
          <w:ilvl w:val="0"/>
          <w:numId w:val="2"/>
        </w:numPr>
        <w:spacing w:after="60" w:line="264"/>
      </w:pPr>
      <w:r>
        <w:rPr>
          <w:rFonts w:ascii="Arial" w:cs="Arial" w:eastAsia="Arial" w:hAnsi="Arial"/>
          <w:b/>
          <w:bCs/>
          <w:sz w:val="20"/>
          <w:szCs w:val="20"/>
        </w:rPr>
        <w:t xml:space="preserve">Stack preference: </w:t>
      </w:r>
      <w:r>
        <w:rPr>
          <w:rFonts w:ascii="Arial" w:cs="Arial" w:eastAsia="Arial" w:hAnsi="Arial"/>
          <w:sz w:val="20"/>
          <w:szCs w:val="20"/>
        </w:rPr>
        <w:t xml:space="preserve">React Native vs Flutter, and NestJS vs Kotlin, if you already have a team skewed one way.</w:t>
      </w:r>
    </w:p>
    <w:p>
      <w:pPr>
        <w:pStyle w:val="Heading1"/>
        <w:spacing w:after="140" w:before="320"/>
      </w:pPr>
      <w:r>
        <w:rPr>
          <w:rFonts w:ascii="Arial" w:cs="Arial" w:eastAsia="Arial" w:hAnsi="Arial"/>
          <w:b/>
          <w:bCs/>
          <w:color w:val="1B3A5C"/>
          <w:sz w:val="30"/>
          <w:szCs w:val="30"/>
        </w:rPr>
        <w:t xml:space="preserve">13. Competitor gap analysis (OWNA) and update plan</w:t>
      </w:r>
    </w:p>
    <w:p>
      <w:pPr>
        <w:spacing w:after="120" w:line="276"/>
      </w:pPr>
      <w:r>
        <w:rPr>
          <w:rFonts w:ascii="Arial" w:cs="Arial" w:eastAsia="Arial" w:hAnsi="Arial"/>
          <w:sz w:val="20"/>
          <w:szCs w:val="20"/>
        </w:rPr>
        <w:t xml:space="preserve">Added 4 October 2026; decisions recorded 5 October 2026. This section compares the current build with OWNA, an established Australian childcare platform, and sets out how to close the gaps that matter. It is based on OWNA’s public website, App Store listing and published reviews, not on hands-on use of their product or a review of their screens.</w:t>
      </w:r>
    </w:p>
    <w:p>
      <w:pPr>
        <w:pStyle w:val="Heading2"/>
        <w:spacing w:after="100" w:before="220"/>
      </w:pPr>
      <w:r>
        <w:rPr>
          <w:rFonts w:ascii="Arial" w:cs="Arial" w:eastAsia="Arial" w:hAnsi="Arial"/>
          <w:b/>
          <w:bCs/>
          <w:color w:val="1B3A5C"/>
          <w:sz w:val="24"/>
          <w:szCs w:val="24"/>
        </w:rPr>
        <w:t xml:space="preserve">13.1 Where the build stands</w:t>
      </w:r>
    </w:p>
    <w:p>
      <w:pPr>
        <w:pStyle w:val="ListParagraph"/>
        <w:numPr>
          <w:ilvl w:val="0"/>
          <w:numId w:val="2"/>
        </w:numPr>
        <w:spacing w:after="60" w:line="264"/>
      </w:pPr>
      <w:r>
        <w:rPr>
          <w:rFonts w:ascii="Arial" w:cs="Arial" w:eastAsia="Arial" w:hAnsi="Arial"/>
          <w:b/>
          <w:bCs/>
          <w:sz w:val="20"/>
          <w:szCs w:val="20"/>
        </w:rPr>
        <w:t xml:space="preserve">Built and tested: </w:t>
      </w:r>
      <w:r>
        <w:rPr>
          <w:rFonts w:ascii="Arial" w:cs="Arial" w:eastAsia="Arial" w:hAnsi="Arial"/>
          <w:sz w:val="20"/>
          <w:szCs w:val="20"/>
        </w:rPr>
        <w:t xml:space="preserve">backend Stages 0–5 (tenancy and RLS, auth and MFA, audit, sync, attendance, group care logging, medication, incidents, messaging API, pickup, billing ledger, mocked CCS, hardening), the centre web portal and the educator app.</w:t>
      </w:r>
    </w:p>
    <w:p>
      <w:pPr>
        <w:pStyle w:val="ListParagraph"/>
        <w:numPr>
          <w:ilvl w:val="0"/>
          <w:numId w:val="2"/>
        </w:numPr>
        <w:spacing w:after="60" w:line="264"/>
      </w:pPr>
      <w:r>
        <w:rPr>
          <w:rFonts w:ascii="Arial" w:cs="Arial" w:eastAsia="Arial" w:hAnsi="Arial"/>
          <w:b/>
          <w:bCs/>
          <w:sz w:val="20"/>
          <w:szCs w:val="20"/>
        </w:rPr>
        <w:t xml:space="preserve">Not started: </w:t>
      </w:r>
      <w:r>
        <w:rPr>
          <w:rFonts w:ascii="Arial" w:cs="Arial" w:eastAsia="Arial" w:hAnsi="Arial"/>
          <w:sz w:val="20"/>
          <w:szCs w:val="20"/>
        </w:rPr>
        <w:t xml:space="preserve">the parent mobile app. Parents use the portal’s parent view for now.</w:t>
      </w:r>
    </w:p>
    <w:p>
      <w:pPr>
        <w:pStyle w:val="ListParagraph"/>
        <w:numPr>
          <w:ilvl w:val="0"/>
          <w:numId w:val="2"/>
        </w:numPr>
        <w:spacing w:after="60" w:line="264"/>
      </w:pPr>
      <w:r>
        <w:rPr>
          <w:rFonts w:ascii="Arial" w:cs="Arial" w:eastAsia="Arial" w:hAnsi="Arial"/>
          <w:b/>
          <w:bCs/>
          <w:sz w:val="20"/>
          <w:szCs w:val="20"/>
        </w:rPr>
        <w:t xml:space="preserve">Mocked or open: </w:t>
      </w:r>
      <w:r>
        <w:rPr>
          <w:rFonts w:ascii="Arial" w:cs="Arial" w:eastAsia="Arial" w:hAnsi="Arial"/>
          <w:sz w:val="20"/>
          <w:szCs w:val="20"/>
        </w:rPr>
        <w:t xml:space="preserve">payment gateway (OI-12), CCS registration (OI-14), media file storage (OI-09), digital forms (OI-11), MFA enforcement (OI-16), data retention and export (OI-17).</w:t>
      </w:r>
    </w:p>
    <w:p>
      <w:pPr>
        <w:pStyle w:val="Heading2"/>
        <w:spacing w:after="100" w:before="220"/>
      </w:pPr>
      <w:r>
        <w:rPr>
          <w:rFonts w:ascii="Arial" w:cs="Arial" w:eastAsia="Arial" w:hAnsi="Arial"/>
          <w:b/>
          <w:bCs/>
          <w:color w:val="1B3A5C"/>
          <w:sz w:val="24"/>
          <w:szCs w:val="24"/>
        </w:rPr>
        <w:t xml:space="preserve">13.2 Feature gaps against OWNA</w:t>
      </w:r>
    </w:p>
    <w:p>
      <w:pPr>
        <w:spacing w:after="120" w:line="276"/>
      </w:pPr>
      <w:r>
        <w:rPr>
          <w:rFonts w:ascii="Arial" w:cs="Arial" w:eastAsia="Arial" w:hAnsi="Arial"/>
          <w:sz w:val="20"/>
          <w:szCs w:val="20"/>
        </w:rPr>
        <w:t xml:space="preserve">Each gap is placed in a stage of the update plan in 13.4 (U1–U5), in Phase 2 or 3, or marked as not planned.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650"/>
        <w:gridCol w:w="3038"/>
        <w:gridCol w:w="1850"/>
      </w:tblGrid>
      <w:tr>
        <w:trPr>
          <w:tblHeader/>
        </w:trPr>
        <w:tc>
          <w:tcPr>
            <w:tcW w:type="dxa" w:w="2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Gap</w:t>
            </w:r>
          </w:p>
        </w:tc>
        <w:tc>
          <w:tcPr>
            <w:tcW w:type="dxa" w:w="26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What OWNA offers</w:t>
            </w:r>
          </w:p>
        </w:tc>
        <w:tc>
          <w:tcPr>
            <w:tcW w:type="dxa" w:w="30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Our status</w:t>
            </w:r>
          </w:p>
        </w:tc>
        <w:tc>
          <w:tcPr>
            <w:tcW w:type="dxa" w:w="18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Where it goes</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Messaging, announcements and photo/video posts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Family feed with photos, videos and direct messages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API built (messaging, media visibility); no screens in portal or apps; real media storage missing (OI-09)</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U1</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Parent mobile app</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Parent app with daily info, posts, forms, bookings and payments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started</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U3</w:t>
            </w:r>
          </w:p>
        </w:tc>
      </w:tr>
      <w:tr>
        <w:trPr>
          <w:cantSplit/>
        </w:trPr>
        <w:tc>
          <w:tcPr>
            <w:tcW w:type="dxa" w:w="2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Parent self-service</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Book casual days, re-enrol, update details, pay and update card</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Bookings exist in billing; no parent-facing flow; payments mocked (OI-12)</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U3, U5</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Extended routines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Sleep checks, sunscreen, nappies, bottles, checklists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Meal, sleep, toileting, bottle and activity only; no timed sleep checks, sunscreen or checklists</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U1</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Digital forms and e-signatures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Excursion, incident and custom forms with signatures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Incident acknowledgement only (OI-11)</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U4</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Immunisation and allergy records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Parents upload immunisation records; allergy tracking</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built; no allergy data in the schema</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U4</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Menus and events calendar</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Automated menu rotation; centre event calendar</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built</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U4</w:t>
            </w:r>
          </w:p>
        </w:tc>
      </w:tr>
      <w:tr>
        <w:trPr>
          <w:cantSplit/>
        </w:trPr>
        <w:tc>
          <w:tcPr>
            <w:tcW w:type="dxa" w:w="2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Owner analytics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Cost, attendance and occupancy dashboards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Basic dashboard only</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U5</w:t>
            </w:r>
          </w:p>
        </w:tc>
      </w:tr>
      <w:tr>
        <w:trPr>
          <w:cantSplit/>
        </w:trPr>
        <w:tc>
          <w:tcPr>
            <w:tcW w:type="dxa" w:w="21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Learning, programming, portfolios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Curriculum planning, observations, learning stories, portfolios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Was Phase 2A; moved into Phase 1 (decision 5 Oct 2026)</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U2</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Enquiry CRM and waitlist</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Enquiry forms, waitlist, enrolment workflow</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Planned in Phase 2B</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2B</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Staff timesheets, ratios, rostering</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Timesheets, ratio alerts, AI roster forecasting, vacant-shift bidding</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Ratios and rostering planned in 2C/2D; timesheets and shift bidding not in the BRD</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2C/2D</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Compliance tools</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Hazards, maintenance, QIP, daily checklists, responsible-person log</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Added as BRD v2.2 §13B (approved)</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2E</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HR and payroll</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Recruitment (SEEK), contracts, leave, payroll</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Integrate, don’t build (approved; BRD v2.2 §13B.4)</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3</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Multi-centre head-office view</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OWNA HQ: cross-centre reporting and bulk billing</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Data model supports it; no UI</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3</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Multilingual</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Six languages</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English only</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3</w:t>
            </w:r>
          </w:p>
        </w:tc>
      </w:tr>
      <w:tr>
        <w:trPr>
          <w:cantSplit/>
        </w:trPr>
        <w:tc>
          <w:tcPr>
            <w:tcW w:type="dxa" w:w="2100"/>
            <w:tcBorders>
              <w:top w:val="single" w:color="C9D1DA" w:sz="4"/>
              <w:left w:val="single" w:color="C9D1DA" w:sz="4"/>
              <w:bottom w:val="single" w:color="C9D1DA" w:sz="4"/>
              <w:right w:val="single" w:color="C9D1DA" w:sz="4"/>
            </w:tcBorders>
            <w:shd w:fill="EEF0F3" w:color="auto" w:val="clear"/>
            <w:tcMar>
              <w:top w:type="dxa" w:w="70"/>
              <w:left w:type="dxa" w:w="110"/>
              <w:bottom w:type="dxa" w:w="70"/>
              <w:right w:type="dxa" w:w="110"/>
            </w:tcMar>
          </w:tcPr>
          <w:p>
            <w:pPr>
              <w:spacing w:after="0"/>
            </w:pPr>
            <w:r>
              <w:rPr>
                <w:rFonts w:ascii="Arial" w:cs="Arial" w:eastAsia="Arial" w:hAnsi="Arial"/>
                <w:sz w:val="18"/>
                <w:szCs w:val="18"/>
              </w:rPr>
              <w:t xml:space="preserve">Public API</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Available</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built</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Phase 3</w:t>
            </w:r>
          </w:p>
        </w:tc>
      </w:tr>
      <w:tr>
        <w:trPr>
          <w:cantSplit/>
        </w:trPr>
        <w:tc>
          <w:tcPr>
            <w:tcW w:type="dxa" w:w="2100"/>
            <w:tcBorders>
              <w:top w:val="single" w:color="C9D1DA" w:sz="4"/>
              <w:left w:val="single" w:color="C9D1DA" w:sz="4"/>
              <w:bottom w:val="single" w:color="C9D1DA" w:sz="4"/>
              <w:right w:val="single" w:color="C9D1DA" w:sz="4"/>
            </w:tcBorders>
            <w:shd w:fill="E6F4EA" w:color="auto" w:val="clear"/>
            <w:tcMar>
              <w:top w:type="dxa" w:w="70"/>
              <w:left w:type="dxa" w:w="110"/>
              <w:bottom w:type="dxa" w:w="70"/>
              <w:right w:type="dxa" w:w="110"/>
            </w:tcMar>
          </w:tcPr>
          <w:p>
            <w:pPr>
              <w:spacing w:after="0"/>
            </w:pPr>
            <w:r>
              <w:rPr>
                <w:rFonts w:ascii="Arial" w:cs="Arial" w:eastAsia="Arial" w:hAnsi="Arial"/>
                <w:sz w:val="18"/>
                <w:szCs w:val="18"/>
              </w:rPr>
              <w:t xml:space="preserve">Marketplace</w:t>
            </w:r>
          </w:p>
        </w:tc>
        <w:tc>
          <w:tcPr>
            <w:tcW w:type="dxa" w:w="26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Promoted on the home screen</w:t>
            </w:r>
          </w:p>
        </w:tc>
        <w:tc>
          <w:tcPr>
            <w:tcW w:type="dxa" w:w="30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built</w:t>
            </w:r>
          </w:p>
        </w:tc>
        <w:tc>
          <w:tcPr>
            <w:tcW w:type="dxa" w:w="185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Not planned</w:t>
            </w:r>
          </w:p>
        </w:tc>
      </w:tr>
    </w:tbl>
    <w:p>
      <w:pPr>
        <w:spacing w:after="60"/>
      </w:pPr>
    </w:p>
    <w:p>
      <w:pPr>
        <w:pStyle w:val="Heading2"/>
        <w:spacing w:after="100" w:before="220"/>
      </w:pPr>
      <w:r>
        <w:rPr>
          <w:rFonts w:ascii="Arial" w:cs="Arial" w:eastAsia="Arial" w:hAnsi="Arial"/>
          <w:b/>
          <w:bCs/>
          <w:color w:val="1B3A5C"/>
          <w:sz w:val="24"/>
          <w:szCs w:val="24"/>
        </w:rPr>
        <w:t xml:space="preserve">13.3 Design and usability findings</w:t>
      </w:r>
    </w:p>
    <w:p>
      <w:pPr>
        <w:spacing w:after="120" w:line="276"/>
      </w:pPr>
      <w:r>
        <w:rPr>
          <w:rFonts w:ascii="Arial" w:cs="Arial" w:eastAsia="Arial" w:hAnsi="Arial"/>
          <w:sz w:val="20"/>
          <w:szCs w:val="20"/>
        </w:rPr>
        <w:t xml:space="preserve">OWNA is rated 3.9 out of 5 from 571 App Store ratings. Most complaints are about the interface rather than missing features, so usability is where this product can stand out.</w:t>
      </w:r>
    </w:p>
    <w:p>
      <w:pPr>
        <w:spacing w:after="120" w:line="276"/>
      </w:pPr>
      <w:r>
        <w:rPr>
          <w:rFonts w:ascii="Arial" w:cs="Arial" w:eastAsia="Arial" w:hAnsi="Arial"/>
          <w:b/>
          <w:bCs/>
          <w:sz w:val="20"/>
          <w:szCs w:val="20"/>
        </w:rPr>
        <w:t xml:space="preserve">What reviewers dislike</w:t>
      </w:r>
      <w:r>
        <w:rPr>
          <w:rFonts w:ascii="Arial" w:cs="Arial" w:eastAsia="Arial" w:hAnsi="Arial"/>
          <w:sz w:val="20"/>
          <w:szCs w:val="20"/>
        </w:rPr>
        <w:t xml:space="preserve"/>
      </w:r>
    </w:p>
    <w:p>
      <w:pPr>
        <w:pStyle w:val="ListParagraph"/>
        <w:numPr>
          <w:ilvl w:val="0"/>
          <w:numId w:val="2"/>
        </w:numPr>
        <w:spacing w:after="60" w:line="264"/>
      </w:pPr>
      <w:r>
        <w:rPr>
          <w:rFonts w:ascii="Arial" w:cs="Arial" w:eastAsia="Arial" w:hAnsi="Arial"/>
          <w:sz w:val="20"/>
          <w:szCs w:val="20"/>
        </w:rPr>
        <w:t xml:space="preserve">Too many folders and small buttons that lead to further menus.</w:t>
      </w:r>
    </w:p>
    <w:p>
      <w:pPr>
        <w:pStyle w:val="ListParagraph"/>
        <w:numPr>
          <w:ilvl w:val="0"/>
          <w:numId w:val="2"/>
        </w:numPr>
        <w:spacing w:after="60" w:line="264"/>
      </w:pPr>
      <w:r>
        <w:rPr>
          <w:rFonts w:ascii="Arial" w:cs="Arial" w:eastAsia="Arial" w:hAnsi="Arial"/>
          <w:sz w:val="20"/>
          <w:szCs w:val="20"/>
        </w:rPr>
        <w:t xml:space="preserve">Parents struggle to find information about their own child.</w:t>
      </w:r>
    </w:p>
    <w:p>
      <w:pPr>
        <w:pStyle w:val="ListParagraph"/>
        <w:numPr>
          <w:ilvl w:val="0"/>
          <w:numId w:val="2"/>
        </w:numPr>
        <w:spacing w:after="60" w:line="264"/>
      </w:pPr>
      <w:r>
        <w:rPr>
          <w:rFonts w:ascii="Arial" w:cs="Arial" w:eastAsia="Arial" w:hAnsi="Arial"/>
          <w:sz w:val="20"/>
          <w:szCs w:val="20"/>
        </w:rPr>
        <w:t xml:space="preserve">The home screen promotes marketplace content ahead of the child.</w:t>
      </w:r>
    </w:p>
    <w:p>
      <w:pPr>
        <w:pStyle w:val="ListParagraph"/>
        <w:numPr>
          <w:ilvl w:val="0"/>
          <w:numId w:val="2"/>
        </w:numPr>
        <w:spacing w:after="60" w:line="264"/>
      </w:pPr>
      <w:r>
        <w:rPr>
          <w:rFonts w:ascii="Arial" w:cs="Arial" w:eastAsia="Arial" w:hAnsi="Arial"/>
          <w:sz w:val="20"/>
          <w:szCs w:val="20"/>
        </w:rPr>
        <w:t xml:space="preserve">It is unclear whether a message goes to one educator or to the whole feed.</w:t>
      </w:r>
    </w:p>
    <w:p>
      <w:pPr>
        <w:pStyle w:val="ListParagraph"/>
        <w:numPr>
          <w:ilvl w:val="0"/>
          <w:numId w:val="2"/>
        </w:numPr>
        <w:spacing w:after="60" w:line="264"/>
      </w:pPr>
      <w:r>
        <w:rPr>
          <w:rFonts w:ascii="Arial" w:cs="Arial" w:eastAsia="Arial" w:hAnsi="Arial"/>
          <w:sz w:val="20"/>
          <w:szCs w:val="20"/>
        </w:rPr>
        <w:t xml:space="preserve">iPad crashes and landscape/portrait layout problems; a photo gallery that does not refresh.</w:t>
      </w:r>
    </w:p>
    <w:p>
      <w:pPr>
        <w:pStyle w:val="ListParagraph"/>
        <w:numPr>
          <w:ilvl w:val="0"/>
          <w:numId w:val="2"/>
        </w:numPr>
        <w:spacing w:after="60" w:line="264"/>
      </w:pPr>
      <w:r>
        <w:rPr>
          <w:rFonts w:ascii="Arial" w:cs="Arial" w:eastAsia="Arial" w:hAnsi="Arial"/>
          <w:sz w:val="20"/>
          <w:szCs w:val="20"/>
        </w:rPr>
        <w:t xml:space="preserve">Observations are not saved as drafts, so educators lose work when the app glitches.</w:t>
      </w:r>
    </w:p>
    <w:p>
      <w:pPr>
        <w:spacing w:after="120" w:line="276"/>
      </w:pPr>
      <w:r>
        <w:rPr>
          <w:rFonts w:ascii="Arial" w:cs="Arial" w:eastAsia="Arial" w:hAnsi="Arial"/>
          <w:b/>
          <w:bCs/>
          <w:sz w:val="20"/>
          <w:szCs w:val="20"/>
        </w:rPr>
        <w:t xml:space="preserve">What to borrow</w:t>
      </w:r>
      <w:r>
        <w:rPr>
          <w:rFonts w:ascii="Arial" w:cs="Arial" w:eastAsia="Arial" w:hAnsi="Arial"/>
          <w:sz w:val="20"/>
          <w:szCs w:val="20"/>
        </w:rPr>
        <w:t xml:space="preserve"/>
      </w:r>
    </w:p>
    <w:p>
      <w:pPr>
        <w:pStyle w:val="ListParagraph"/>
        <w:numPr>
          <w:ilvl w:val="0"/>
          <w:numId w:val="2"/>
        </w:numPr>
        <w:spacing w:after="60" w:line="264"/>
      </w:pPr>
      <w:r>
        <w:rPr>
          <w:rFonts w:ascii="Arial" w:cs="Arial" w:eastAsia="Arial" w:hAnsi="Arial"/>
          <w:sz w:val="20"/>
          <w:szCs w:val="20"/>
        </w:rPr>
        <w:t xml:space="preserve">A live daily timeline of meals, sleep, nappies and bottles; this is what parents praise most.</w:t>
      </w:r>
    </w:p>
    <w:p>
      <w:pPr>
        <w:pStyle w:val="ListParagraph"/>
        <w:numPr>
          <w:ilvl w:val="0"/>
          <w:numId w:val="2"/>
        </w:numPr>
        <w:spacing w:after="60" w:line="264"/>
      </w:pPr>
      <w:r>
        <w:rPr>
          <w:rFonts w:ascii="Arial" w:cs="Arial" w:eastAsia="Arial" w:hAnsi="Arial"/>
          <w:sz w:val="20"/>
          <w:szCs w:val="20"/>
        </w:rPr>
        <w:t xml:space="preserve">Charts for occupancy, attendance and staff cost on the owner dashboard.</w:t>
      </w:r>
    </w:p>
    <w:p>
      <w:pPr>
        <w:pStyle w:val="ListParagraph"/>
        <w:numPr>
          <w:ilvl w:val="0"/>
          <w:numId w:val="2"/>
        </w:numPr>
        <w:spacing w:after="60" w:line="264"/>
      </w:pPr>
      <w:r>
        <w:rPr>
          <w:rFonts w:ascii="Arial" w:cs="Arial" w:eastAsia="Arial" w:hAnsi="Arial"/>
          <w:sz w:val="20"/>
          <w:szCs w:val="20"/>
        </w:rPr>
        <w:t xml:space="preserve">Filtering by room and by child throughout.</w:t>
      </w:r>
    </w:p>
    <w:p>
      <w:pPr>
        <w:pStyle w:val="ListParagraph"/>
        <w:numPr>
          <w:ilvl w:val="0"/>
          <w:numId w:val="2"/>
        </w:numPr>
        <w:spacing w:after="60" w:line="264"/>
      </w:pPr>
      <w:r>
        <w:rPr>
          <w:rFonts w:ascii="Arial" w:cs="Arial" w:eastAsia="Arial" w:hAnsi="Arial"/>
          <w:sz w:val="20"/>
          <w:szCs w:val="20"/>
        </w:rPr>
        <w:t xml:space="preserve">Pre-filled pickup times, which reviewers ask for.</w:t>
      </w:r>
    </w:p>
    <w:p>
      <w:pPr>
        <w:spacing w:after="120" w:line="276"/>
      </w:pPr>
      <w:r>
        <w:rPr>
          <w:rFonts w:ascii="Arial" w:cs="Arial" w:eastAsia="Arial" w:hAnsi="Arial"/>
          <w:b/>
          <w:bCs/>
          <w:sz w:val="20"/>
          <w:szCs w:val="20"/>
        </w:rPr>
        <w:t xml:space="preserve">Where to do better</w:t>
      </w:r>
      <w:r>
        <w:rPr>
          <w:rFonts w:ascii="Arial" w:cs="Arial" w:eastAsia="Arial" w:hAnsi="Arial"/>
          <w:sz w:val="20"/>
          <w:szCs w:val="20"/>
        </w:rPr>
        <w:t xml:space="preserve"/>
      </w:r>
    </w:p>
    <w:p>
      <w:pPr>
        <w:pStyle w:val="ListParagraph"/>
        <w:numPr>
          <w:ilvl w:val="0"/>
          <w:numId w:val="2"/>
        </w:numPr>
        <w:spacing w:after="60" w:line="264"/>
      </w:pPr>
      <w:r>
        <w:rPr>
          <w:rFonts w:ascii="Arial" w:cs="Arial" w:eastAsia="Arial" w:hAnsi="Arial"/>
          <w:sz w:val="20"/>
          <w:szCs w:val="20"/>
        </w:rPr>
        <w:t xml:space="preserve">Child-first parent home: one card per child that opens today’s timeline. No marketplace and no nested menus.</w:t>
      </w:r>
    </w:p>
    <w:p>
      <w:pPr>
        <w:pStyle w:val="ListParagraph"/>
        <w:numPr>
          <w:ilvl w:val="0"/>
          <w:numId w:val="2"/>
        </w:numPr>
        <w:spacing w:after="60" w:line="264"/>
      </w:pPr>
      <w:r>
        <w:rPr>
          <w:rFonts w:ascii="Arial" w:cs="Arial" w:eastAsia="Arial" w:hAnsi="Arial"/>
          <w:sz w:val="20"/>
          <w:szCs w:val="20"/>
        </w:rPr>
        <w:t xml:space="preserve">Auto-saved drafts wherever an educator writes, building on the offline-first sync engine.</w:t>
      </w:r>
    </w:p>
    <w:p>
      <w:pPr>
        <w:pStyle w:val="ListParagraph"/>
        <w:numPr>
          <w:ilvl w:val="0"/>
          <w:numId w:val="2"/>
        </w:numPr>
        <w:spacing w:after="60" w:line="264"/>
      </w:pPr>
      <w:r>
        <w:rPr>
          <w:rFonts w:ascii="Arial" w:cs="Arial" w:eastAsia="Arial" w:hAnsi="Arial"/>
          <w:sz w:val="20"/>
          <w:szCs w:val="20"/>
        </w:rPr>
        <w:t xml:space="preserve">Every message shows clearly who will receive it: a direct message to an educator or a centre-wide notice.</w:t>
      </w:r>
    </w:p>
    <w:p>
      <w:pPr>
        <w:pStyle w:val="ListParagraph"/>
        <w:numPr>
          <w:ilvl w:val="0"/>
          <w:numId w:val="2"/>
        </w:numPr>
        <w:spacing w:after="60" w:line="264"/>
      </w:pPr>
      <w:r>
        <w:rPr>
          <w:rFonts w:ascii="Arial" w:cs="Arial" w:eastAsia="Arial" w:hAnsi="Arial"/>
          <w:sz w:val="20"/>
          <w:szCs w:val="20"/>
        </w:rPr>
        <w:t xml:space="preserve">Tablet layouts designed and tested as a primary target, since many rooms run on iPads.</w:t>
      </w:r>
    </w:p>
    <w:p>
      <w:pPr>
        <w:pStyle w:val="Heading2"/>
        <w:spacing w:after="100" w:before="220"/>
      </w:pPr>
      <w:r>
        <w:rPr>
          <w:rFonts w:ascii="Arial" w:cs="Arial" w:eastAsia="Arial" w:hAnsi="Arial"/>
          <w:b/>
          <w:bCs/>
          <w:color w:val="1B3A5C"/>
          <w:sz w:val="24"/>
          <w:szCs w:val="24"/>
        </w:rPr>
        <w:t xml:space="preserve">13.4 Plan to update the solution</w:t>
      </w:r>
    </w:p>
    <w:p>
      <w:pPr>
        <w:spacing w:after="120" w:line="276"/>
      </w:pPr>
      <w:r>
        <w:rPr>
          <w:rFonts w:ascii="Arial" w:cs="Arial" w:eastAsia="Arial" w:hAnsi="Arial"/>
          <w:sz w:val="20"/>
          <w:szCs w:val="20"/>
        </w:rPr>
        <w:t xml:space="preserve">The work follows the repo’s execution model: sequential stages, tests written before features (TDD), structured logging and audit on every new endpoint, and a security review of touched modules. Sizes are relative (S, M, L) rather than months, because the team-based estimates in section 11 do not apply to the solo/small-team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100"/>
        <w:gridCol w:w="2700"/>
        <w:gridCol w:w="538"/>
      </w:tblGrid>
      <w:tr>
        <w:trPr>
          <w:tblHeader/>
        </w:trPr>
        <w:tc>
          <w:tcPr>
            <w:tcW w:type="dxa" w:w="17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Stream</w:t>
            </w:r>
          </w:p>
        </w:tc>
        <w:tc>
          <w:tcPr>
            <w:tcW w:type="dxa" w:w="36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Scope</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Depends on</w:t>
            </w:r>
          </w:p>
        </w:tc>
        <w:tc>
          <w:tcPr>
            <w:tcW w:type="dxa" w:w="27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Exit criteria</w:t>
            </w:r>
          </w:p>
        </w:tc>
        <w:tc>
          <w:tcPr>
            <w:tcW w:type="dxa" w:w="5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Size</w:t>
            </w:r>
          </w:p>
        </w:tc>
      </w:tr>
      <w:tr>
        <w:trPr>
          <w:cantSplit/>
        </w:trPr>
        <w:tc>
          <w:tcPr>
            <w:tcW w:type="dxa" w:w="17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U0 UX foundation</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Refresh the shared design system; child-first navigation; tablet layouts; a visual click-through of every existing portal and educator screen (not done yet); WCAG 2.2 AA spot checks.</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Every existing screen reviewed in a browser at phone, tablet and desktop sizes; layout defects fixed.</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S</w:t>
            </w:r>
          </w:p>
        </w:tc>
      </w:tr>
      <w:tr>
        <w:trPr>
          <w:cantSplit/>
        </w:trPr>
        <w:tc>
          <w:tcPr>
            <w:tcW w:type="dxa" w:w="17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U1 Family feed and routines</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Real media storage (OI-09, resolved); messaging and announcement screens with clear recipients; photo/video posts; parent live daily timeline; new routine types (sleep checks with interval reminders, sunscreen, nappy, room checklists); auto-saved drafts.</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U0</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Educator posts a tagged photo and logs a sleep check offline; the parent sees both in the timeline after sync; media rules pass the cross-family access suite.</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L</w:t>
            </w:r>
          </w:p>
        </w:tc>
      </w:tr>
      <w:tr>
        <w:trPr>
          <w:cantSplit/>
        </w:trPr>
        <w:tc>
          <w:tcPr>
            <w:tcW w:type="dxa" w:w="17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U2 Learning in the feed</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Moved from Phase 2A. Observations and learning stories linked to EYLF V2.0 outcomes, published to the family feed after review; child portfolios with PDF export; room programs and weekly plans; guardian responses visible only to that child’s family and educators.</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U1</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An educator writes a learning story offline, links outcomes and photos, and publishes it; the parent sees it in the feed and the portfolio; another family cannot see it.</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L</w:t>
            </w:r>
          </w:p>
        </w:tc>
      </w:tr>
      <w:tr>
        <w:trPr>
          <w:cantSplit/>
        </w:trPr>
        <w:tc>
          <w:tcPr>
            <w:tcW w:type="dxa" w:w="17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U3 Parent mobile app</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Expo app sharing the educator app’s components: child-first home, timeline and learning feed, messages, invoices and explainable bill, casual-day requests, absence notices, pickup with pre-filled times, categorised push.</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U2</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 parent completes the core tasks (PAR-001 to PAR-011) on a phone without support; key child info visible within 10 seconds.</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L</w:t>
            </w:r>
          </w:p>
        </w:tc>
      </w:tr>
      <w:tr>
        <w:trPr>
          <w:cantSplit/>
        </w:trPr>
        <w:tc>
          <w:tcPr>
            <w:tcW w:type="dxa" w:w="1700"/>
            <w:tcBorders>
              <w:top w:val="single" w:color="C9D1DA" w:sz="4"/>
              <w:left w:val="single" w:color="C9D1DA" w:sz="4"/>
              <w:bottom w:val="single" w:color="C9D1DA" w:sz="4"/>
              <w:right w:val="single" w:color="C9D1DA" w:sz="4"/>
            </w:tcBorders>
            <w:shd w:fill="E3EEF9" w:color="auto" w:val="clear"/>
            <w:tcMar>
              <w:top w:type="dxa" w:w="70"/>
              <w:left w:type="dxa" w:w="110"/>
              <w:bottom w:type="dxa" w:w="70"/>
              <w:right w:type="dxa" w:w="110"/>
            </w:tcMar>
          </w:tcPr>
          <w:p>
            <w:pPr>
              <w:spacing w:after="0"/>
            </w:pPr>
            <w:r>
              <w:rPr>
                <w:rFonts w:ascii="Arial" w:cs="Arial" w:eastAsia="Arial" w:hAnsi="Arial"/>
                <w:sz w:val="18"/>
                <w:szCs w:val="18"/>
              </w:rPr>
              <w:t xml:space="preserve">U4 Forms, health and calendar</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In-house forms engine with e-signature (OI-11, resolved): excursion, consent and custom forms; immunisation upload and allergy records that appear on the educator roster and are checked during medication and meal logging; menus and events calendar.</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U3</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 parent signs an excursion form in the app; an allergy shows on the roster and flags a conflicting meal entry until it is acknowledged.</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M</w:t>
            </w:r>
          </w:p>
        </w:tc>
      </w:tr>
      <w:tr>
        <w:trPr>
          <w:cantSplit/>
        </w:trPr>
        <w:tc>
          <w:tcPr>
            <w:tcW w:type="dxa" w:w="17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U5 Money and insight</w:t>
            </w:r>
          </w:p>
        </w:tc>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Fat Zebra gateway adapter (OI-12, resolved) with in-app payment and card update; owner analytics dashboard (occupancy, attendance trends, fees vs collections).</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U3; merchant account</w:t>
            </w:r>
          </w:p>
        </w:tc>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A sandbox payment from the parent app reconciles to the ledger; dashboard figures match the underlying reports.</w:t>
            </w:r>
          </w:p>
        </w:tc>
        <w:tc>
          <w:tcPr>
            <w:tcW w:type="dxa" w:w="538"/>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0"/>
            </w:pPr>
            <w:r>
              <w:rPr>
                <w:rFonts w:ascii="Arial" w:cs="Arial" w:eastAsia="Arial" w:hAnsi="Arial"/>
                <w:sz w:val="18"/>
                <w:szCs w:val="18"/>
              </w:rPr>
              <w:t xml:space="preserve">M</w:t>
            </w:r>
          </w:p>
        </w:tc>
      </w:tr>
    </w:tbl>
    <w:p>
      <w:pPr>
        <w:spacing w:after="60"/>
      </w:pPr>
    </w:p>
    <w:p>
      <w:pPr>
        <w:spacing w:after="120" w:line="276"/>
      </w:pPr>
      <w:r>
        <w:rPr>
          <w:rFonts w:ascii="Arial" w:cs="Arial" w:eastAsia="Arial" w:hAnsi="Arial"/>
          <w:b/>
          <w:bCs/>
          <w:sz w:val="20"/>
          <w:szCs w:val="20"/>
        </w:rPr>
        <w:t xml:space="preserve">Phase 2 changes: </w:t>
      </w:r>
      <w:r>
        <w:rPr>
          <w:rFonts w:ascii="Arial" w:cs="Arial" w:eastAsia="Arial" w:hAnsi="Arial"/>
          <w:sz w:val="20"/>
          <w:szCs w:val="20"/>
        </w:rPr>
        <w:t xml:space="preserve">keep the order in section 7 and widen each stream to cover the gaps above.</w:t>
      </w:r>
    </w:p>
    <w:p>
      <w:pPr>
        <w:pStyle w:val="ListParagraph"/>
        <w:numPr>
          <w:ilvl w:val="0"/>
          <w:numId w:val="2"/>
        </w:numPr>
        <w:spacing w:after="60" w:line="264"/>
      </w:pPr>
      <w:r>
        <w:rPr>
          <w:rFonts w:ascii="Arial" w:cs="Arial" w:eastAsia="Arial" w:hAnsi="Arial"/>
          <w:b/>
          <w:bCs/>
          <w:sz w:val="20"/>
          <w:szCs w:val="20"/>
        </w:rPr>
        <w:t xml:space="preserve">2A Learning: </w:t>
      </w:r>
      <w:r>
        <w:rPr>
          <w:rFonts w:ascii="Arial" w:cs="Arial" w:eastAsia="Arial" w:hAnsi="Arial"/>
          <w:sz w:val="20"/>
          <w:szCs w:val="20"/>
        </w:rPr>
        <w:t xml:space="preserve">moved into Phase 1 as U2, including programming/planning and child portfolios.</w:t>
      </w:r>
    </w:p>
    <w:p>
      <w:pPr>
        <w:pStyle w:val="ListParagraph"/>
        <w:numPr>
          <w:ilvl w:val="0"/>
          <w:numId w:val="2"/>
        </w:numPr>
        <w:spacing w:after="60" w:line="264"/>
      </w:pPr>
      <w:r>
        <w:rPr>
          <w:rFonts w:ascii="Arial" w:cs="Arial" w:eastAsia="Arial" w:hAnsi="Arial"/>
          <w:b/>
          <w:bCs/>
          <w:sz w:val="20"/>
          <w:szCs w:val="20"/>
        </w:rPr>
        <w:t xml:space="preserve">2B Enrolment: </w:t>
      </w:r>
      <w:r>
        <w:rPr>
          <w:rFonts w:ascii="Arial" w:cs="Arial" w:eastAsia="Arial" w:hAnsi="Arial"/>
          <w:sz w:val="20"/>
          <w:szCs w:val="20"/>
        </w:rPr>
        <w:t xml:space="preserve">add an enquiry CRM (enquiry forms, follow-ups) ahead of the waitlist and offer flow.</w:t>
      </w:r>
    </w:p>
    <w:p>
      <w:pPr>
        <w:pStyle w:val="ListParagraph"/>
        <w:numPr>
          <w:ilvl w:val="0"/>
          <w:numId w:val="2"/>
        </w:numPr>
        <w:spacing w:after="60" w:line="264"/>
      </w:pPr>
      <w:r>
        <w:rPr>
          <w:rFonts w:ascii="Arial" w:cs="Arial" w:eastAsia="Arial" w:hAnsi="Arial"/>
          <w:b/>
          <w:bCs/>
          <w:sz w:val="20"/>
          <w:szCs w:val="20"/>
        </w:rPr>
        <w:t xml:space="preserve">2C Staff and ratios: </w:t>
      </w:r>
      <w:r>
        <w:rPr>
          <w:rFonts w:ascii="Arial" w:cs="Arial" w:eastAsia="Arial" w:hAnsi="Arial"/>
          <w:sz w:val="20"/>
          <w:szCs w:val="20"/>
        </w:rPr>
        <w:t xml:space="preserve">add staff sign-in/out timesheets, which the ratio engine needs anyway.</w:t>
      </w:r>
    </w:p>
    <w:p>
      <w:pPr>
        <w:pStyle w:val="ListParagraph"/>
        <w:numPr>
          <w:ilvl w:val="0"/>
          <w:numId w:val="2"/>
        </w:numPr>
        <w:spacing w:after="60" w:line="264"/>
      </w:pPr>
      <w:r>
        <w:rPr>
          <w:rFonts w:ascii="Arial" w:cs="Arial" w:eastAsia="Arial" w:hAnsi="Arial"/>
          <w:b/>
          <w:bCs/>
          <w:sz w:val="20"/>
          <w:szCs w:val="20"/>
        </w:rPr>
        <w:t xml:space="preserve">2D Rostering: </w:t>
      </w:r>
      <w:r>
        <w:rPr>
          <w:rFonts w:ascii="Arial" w:cs="Arial" w:eastAsia="Arial" w:hAnsi="Arial"/>
          <w:sz w:val="20"/>
          <w:szCs w:val="20"/>
        </w:rPr>
        <w:t xml:space="preserve">add vacant-shift bidding. Defer AI roster forecasting until real attendance history exists.</w:t>
      </w:r>
    </w:p>
    <w:p>
      <w:pPr>
        <w:pStyle w:val="ListParagraph"/>
        <w:numPr>
          <w:ilvl w:val="0"/>
          <w:numId w:val="2"/>
        </w:numPr>
        <w:spacing w:after="60" w:line="264"/>
      </w:pPr>
      <w:r>
        <w:rPr>
          <w:rFonts w:ascii="Arial" w:cs="Arial" w:eastAsia="Arial" w:hAnsi="Arial"/>
          <w:b/>
          <w:bCs/>
          <w:sz w:val="20"/>
          <w:szCs w:val="20"/>
        </w:rPr>
        <w:t xml:space="preserve">2E Compliance (new, approved): </w:t>
      </w:r>
      <w:r>
        <w:rPr>
          <w:rFonts w:ascii="Arial" w:cs="Arial" w:eastAsia="Arial" w:hAnsi="Arial"/>
          <w:sz w:val="20"/>
          <w:szCs w:val="20"/>
        </w:rPr>
        <w:t xml:space="preserve">hazard and maintenance logs, daily checklists, responsible-person log, drills, policies and QIP, as specified in BRD v2.2 §13B (CMP-001 to CMP-009).</w:t>
      </w:r>
    </w:p>
    <w:p>
      <w:pPr>
        <w:spacing w:after="120" w:line="276"/>
      </w:pPr>
      <w:r>
        <w:rPr>
          <w:rFonts w:ascii="Arial" w:cs="Arial" w:eastAsia="Arial" w:hAnsi="Arial"/>
          <w:b/>
          <w:bCs/>
          <w:sz w:val="20"/>
          <w:szCs w:val="20"/>
        </w:rPr>
        <w:t xml:space="preserve">Phase 3 additions: </w:t>
      </w:r>
      <w:r>
        <w:rPr>
          <w:rFonts w:ascii="Arial" w:cs="Arial" w:eastAsia="Arial" w:hAnsi="Arial"/>
          <w:sz w:val="20"/>
          <w:szCs w:val="20"/>
        </w:rPr>
        <w:t xml:space="preserve">multi-centre head-office view, multilingual support (at least the six languages OWNA offers), a public API, and HR/payroll through integration with existing payroll providers rather than building payroll (providers to be chosen: OI-19). The marketplace is not planned; reviews suggest it hurts usability.</w:t>
      </w:r>
    </w:p>
    <w:tbl>
      <w:tblPr>
        <w:tblW w:type="dxa" w:w="9638"/>
        <w:tblBorders>
          <w:left w:val="single" w:color="1B3A5C" w:sz="24"/>
        </w:tblBorders>
      </w:tblPr>
      <w:tblGrid>
        <w:gridCol w:w="9638"/>
      </w:tblGrid>
      <w:tr>
        <w:tc>
          <w:tcPr>
            <w:tcW w:type="dxa" w:w="9638"/>
            <w:tcBorders>
              <w:top w:val="single" w:color="C9D1DA" w:sz="4"/>
              <w:left w:val="single" w:color="C9D1DA" w:sz="4"/>
              <w:bottom w:val="single" w:color="C9D1DA" w:sz="4"/>
              <w:right w:val="single" w:color="C9D1DA" w:sz="4"/>
            </w:tcBorders>
            <w:shd w:fill="EAF1F8" w:color="auto" w:val="clear"/>
            <w:tcMar>
              <w:top w:type="dxa" w:w="70"/>
              <w:left w:type="dxa" w:w="110"/>
              <w:bottom w:type="dxa" w:w="70"/>
              <w:right w:type="dxa" w:w="110"/>
            </w:tcMar>
          </w:tcPr>
          <w:p>
            <w:pPr>
              <w:spacing w:after="0" w:line="264"/>
            </w:pPr>
            <w:r>
              <w:rPr>
                <w:rFonts w:ascii="Arial" w:cs="Arial" w:eastAsia="Arial" w:hAnsi="Arial"/>
                <w:b/>
                <w:bCs/>
                <w:sz w:val="20"/>
                <w:szCs w:val="20"/>
              </w:rPr>
              <w:t xml:space="preserve">Recommended order: </w:t>
            </w:r>
            <w:r>
              <w:rPr>
                <w:rFonts w:ascii="Arial" w:cs="Arial" w:eastAsia="Arial" w:hAnsi="Arial"/>
                <w:sz w:val="20"/>
                <w:szCs w:val="20"/>
              </w:rPr>
              <w:t xml:space="preserve">U0 → U1 → U2 → U3 → U4 → U5, then Phase 2 (2B, 2C, 2D, 2E). Learning sits inside the family feed, as OWNA does it, so it follows the feed and comes before the parent app. Re-run the security review and performance tests (against docs/performance-slas.md) at the end of U3 and U5.</w:t>
            </w:r>
          </w:p>
        </w:tc>
      </w:tr>
    </w:tbl>
    <w:p>
      <w:pPr>
        <w:spacing w:after="60"/>
      </w:pPr>
    </w:p>
    <w:p>
      <w:pPr>
        <w:pStyle w:val="Heading2"/>
        <w:spacing w:after="100" w:before="220"/>
      </w:pPr>
      <w:r>
        <w:rPr>
          <w:rFonts w:ascii="Arial" w:cs="Arial" w:eastAsia="Arial" w:hAnsi="Arial"/>
          <w:b/>
          <w:bCs/>
          <w:color w:val="1B3A5C"/>
          <w:sz w:val="24"/>
          <w:szCs w:val="24"/>
        </w:rPr>
        <w:t xml:space="preserve">13.5 Decisions made (5 October 2026)</w:t>
      </w:r>
    </w:p>
    <w:p>
      <w:pPr>
        <w:pStyle w:val="ListParagraph"/>
        <w:numPr>
          <w:ilvl w:val="0"/>
          <w:numId w:val="2"/>
        </w:numPr>
        <w:spacing w:after="60" w:line="264"/>
      </w:pPr>
      <w:r>
        <w:rPr>
          <w:rFonts w:ascii="Arial" w:cs="Arial" w:eastAsia="Arial" w:hAnsi="Arial"/>
          <w:b/>
          <w:bCs/>
          <w:sz w:val="20"/>
          <w:szCs w:val="20"/>
        </w:rPr>
        <w:t xml:space="preserve">Compliance: </w:t>
      </w:r>
      <w:r>
        <w:rPr>
          <w:rFonts w:ascii="Arial" w:cs="Arial" w:eastAsia="Arial" w:hAnsi="Arial"/>
          <w:sz w:val="20"/>
          <w:szCs w:val="20"/>
        </w:rPr>
        <w:t xml:space="preserve">approved as Phase 2E; BRD updated to v2.2 with new §13B.</w:t>
      </w:r>
    </w:p>
    <w:p>
      <w:pPr>
        <w:pStyle w:val="ListParagraph"/>
        <w:numPr>
          <w:ilvl w:val="0"/>
          <w:numId w:val="2"/>
        </w:numPr>
        <w:spacing w:after="60" w:line="264"/>
      </w:pPr>
      <w:r>
        <w:rPr>
          <w:rFonts w:ascii="Arial" w:cs="Arial" w:eastAsia="Arial" w:hAnsi="Arial"/>
          <w:b/>
          <w:bCs/>
          <w:sz w:val="20"/>
          <w:szCs w:val="20"/>
        </w:rPr>
        <w:t xml:space="preserve">HR and payroll: </w:t>
      </w:r>
      <w:r>
        <w:rPr>
          <w:rFonts w:ascii="Arial" w:cs="Arial" w:eastAsia="Arial" w:hAnsi="Arial"/>
          <w:sz w:val="20"/>
          <w:szCs w:val="20"/>
        </w:rPr>
        <w:t xml:space="preserve">integrate with existing payroll providers rather than build (BRD v2.2 §13B.4). Which providers is open item OI-19.</w:t>
      </w:r>
    </w:p>
    <w:p>
      <w:pPr>
        <w:pStyle w:val="ListParagraph"/>
        <w:numPr>
          <w:ilvl w:val="0"/>
          <w:numId w:val="2"/>
        </w:numPr>
        <w:spacing w:after="60" w:line="264"/>
      </w:pPr>
      <w:r>
        <w:rPr>
          <w:rFonts w:ascii="Arial" w:cs="Arial" w:eastAsia="Arial" w:hAnsi="Arial"/>
          <w:b/>
          <w:bCs/>
          <w:sz w:val="20"/>
          <w:szCs w:val="20"/>
        </w:rPr>
        <w:t xml:space="preserve">Learning: </w:t>
      </w:r>
      <w:r>
        <w:rPr>
          <w:rFonts w:ascii="Arial" w:cs="Arial" w:eastAsia="Arial" w:hAnsi="Arial"/>
          <w:sz w:val="20"/>
          <w:szCs w:val="20"/>
        </w:rPr>
        <w:t xml:space="preserve">follow OWNA’s approach. Learning moves into Phase 1 and is delivered through the family feed (stage U2), resolving OI-04.</w:t>
      </w:r>
    </w:p>
    <w:p>
      <w:pPr>
        <w:pStyle w:val="ListParagraph"/>
        <w:numPr>
          <w:ilvl w:val="0"/>
          <w:numId w:val="2"/>
        </w:numPr>
        <w:spacing w:after="60" w:line="264"/>
      </w:pPr>
      <w:r>
        <w:rPr>
          <w:rFonts w:ascii="Arial" w:cs="Arial" w:eastAsia="Arial" w:hAnsi="Arial"/>
          <w:b/>
          <w:bCs/>
          <w:sz w:val="20"/>
          <w:szCs w:val="20"/>
        </w:rPr>
        <w:t xml:space="preserve">Media storage (OI-09): </w:t>
      </w:r>
      <w:r>
        <w:rPr>
          <w:rFonts w:ascii="Arial" w:cs="Arial" w:eastAsia="Arial" w:hAnsi="Arial"/>
          <w:sz w:val="20"/>
          <w:szCs w:val="20"/>
        </w:rPr>
        <w:t xml:space="preserve">S3-compatible object storage behind a storage interface: AWS S3 in Sydney for deployed environments, MinIO locally. Images are re-encoded on upload to strip EXIF and GPS data; buckets are private and read through short-lived signed URLs. See ADR 0004.</w:t>
      </w:r>
    </w:p>
    <w:p>
      <w:pPr>
        <w:pStyle w:val="ListParagraph"/>
        <w:numPr>
          <w:ilvl w:val="0"/>
          <w:numId w:val="2"/>
        </w:numPr>
        <w:spacing w:after="60" w:line="264"/>
      </w:pPr>
      <w:r>
        <w:rPr>
          <w:rFonts w:ascii="Arial" w:cs="Arial" w:eastAsia="Arial" w:hAnsi="Arial"/>
          <w:b/>
          <w:bCs/>
          <w:sz w:val="20"/>
          <w:szCs w:val="20"/>
        </w:rPr>
        <w:t xml:space="preserve">Digital forms (OI-11): </w:t>
      </w:r>
      <w:r>
        <w:rPr>
          <w:rFonts w:ascii="Arial" w:cs="Arial" w:eastAsia="Arial" w:hAnsi="Arial"/>
          <w:sz w:val="20"/>
          <w:szCs w:val="20"/>
        </w:rPr>
        <w:t xml:space="preserve">built in-house rather than using a third-party e-signature service, so form data stays in Australia. Versioned templates, immutable signed submissions, drawn or typed signature with identity, time and device evidence, all audit-logged. Legal review of the signing method before pilot. See ADR 0005.</w:t>
      </w:r>
    </w:p>
    <w:p>
      <w:pPr>
        <w:pStyle w:val="ListParagraph"/>
        <w:numPr>
          <w:ilvl w:val="0"/>
          <w:numId w:val="2"/>
        </w:numPr>
        <w:spacing w:after="60" w:line="264"/>
      </w:pPr>
      <w:r>
        <w:rPr>
          <w:rFonts w:ascii="Arial" w:cs="Arial" w:eastAsia="Arial" w:hAnsi="Arial"/>
          <w:b/>
          <w:bCs/>
          <w:sz w:val="20"/>
          <w:szCs w:val="20"/>
        </w:rPr>
        <w:t xml:space="preserve">Payment gateway (OI-06, OI-12): </w:t>
      </w:r>
      <w:r>
        <w:rPr>
          <w:rFonts w:ascii="Arial" w:cs="Arial" w:eastAsia="Arial" w:hAnsi="Arial"/>
          <w:sz w:val="20"/>
          <w:szCs w:val="20"/>
        </w:rPr>
        <w:t xml:space="preserve">Fat Zebra (Australian; hosted card fields keep card data off our servers). Ezidebit is the fallback. Stripe was ruled out because its Australian direct-debit terms transfer personal information to the United States. To confirm during merchant onboarding: BECS direct debit support, Australian data hosting and webhook signing. A merchant account and sandbox credentials are needed from the business; until then the mocked gateway stays the default. See ADR 0006.</w:t>
      </w:r>
    </w:p>
    <w:p>
      <w:pPr>
        <w:pStyle w:val="Heading1"/>
        <w:spacing w:after="140" w:before="320"/>
      </w:pPr>
      <w:r>
        <w:rPr>
          <w:rFonts w:ascii="Arial" w:cs="Arial" w:eastAsia="Arial" w:hAnsi="Arial"/>
          <w:b/>
          <w:bCs/>
          <w:color w:val="1B3A5C"/>
          <w:sz w:val="30"/>
          <w:szCs w:val="30"/>
        </w:rPr>
        <w:t xml:space="preserve">14. Competitor USP review and update plan (11 October 2026)</w:t>
      </w:r>
    </w:p>
    <w:p>
      <w:pPr>
        <w:spacing w:after="120" w:line="276"/>
      </w:pPr>
      <w:r>
        <w:rPr>
          <w:rFonts w:ascii="Arial" w:cs="Arial" w:eastAsia="Arial" w:hAnsi="Arial"/>
          <w:sz w:val="20"/>
          <w:szCs w:val="20"/>
        </w:rPr>
        <w:t xml:space="preserve">Added 11 October 2026. Seven USPs claimed by other Australian childcare apps were checked against BRD v2.2. The gaps are now requirements in BRD v2.3 (section 36 and PAR-015). This section sets the delivery order. The working copy of the stage plan is docs/usp-gap-closure-plan.md, and every decision is in docs/decision-log.md.</w:t>
      </w:r>
    </w:p>
    <w:p>
      <w:pPr>
        <w:pStyle w:val="Heading2"/>
        <w:spacing w:after="100" w:before="220"/>
      </w:pPr>
      <w:r>
        <w:rPr>
          <w:rFonts w:ascii="Arial" w:cs="Arial" w:eastAsia="Arial" w:hAnsi="Arial"/>
          <w:b/>
          <w:bCs/>
          <w:color w:val="1B3A5C"/>
          <w:sz w:val="24"/>
          <w:szCs w:val="24"/>
        </w:rPr>
        <w:t xml:space="preserve">14.1 Where the build stands</w:t>
      </w:r>
    </w:p>
    <w:p>
      <w:pPr>
        <w:pStyle w:val="ListParagraph"/>
        <w:numPr>
          <w:ilvl w:val="0"/>
          <w:numId w:val="2"/>
        </w:numPr>
        <w:spacing w:after="60" w:line="264"/>
      </w:pPr>
      <w:r>
        <w:rPr>
          <w:rFonts w:ascii="Arial" w:cs="Arial" w:eastAsia="Arial" w:hAnsi="Arial"/>
          <w:sz w:val="20"/>
          <w:szCs w:val="20"/>
        </w:rPr>
        <w:t xml:space="preserve">Built and tested: backend Stages 0–5; U0 and U1; U2 learning API, family feed, offline drafts and portal screens; U3 parent app (Today, Learning, Messages, Bills, absences, casual days, pickup) with Pickups and Family requests pages for staff.</w:t>
      </w:r>
    </w:p>
    <w:p>
      <w:pPr>
        <w:pStyle w:val="ListParagraph"/>
        <w:numPr>
          <w:ilvl w:val="0"/>
          <w:numId w:val="2"/>
        </w:numPr>
        <w:spacing w:after="60" w:line="264"/>
      </w:pPr>
      <w:r>
        <w:rPr>
          <w:rFonts w:ascii="Arial" w:cs="Arial" w:eastAsia="Arial" w:hAnsi="Arial"/>
          <w:sz w:val="20"/>
          <w:szCs w:val="20"/>
        </w:rPr>
        <w:t xml:space="preserve">Stage PR (pilot readiness), part 1 done: rotating refresh tokens and per-role sessions (OI-28), MFA with recovery codes and optional enforcement for admins (OI-16), read-access audit on 21 sensitive routes (OI-18), and the fixes from the security review of the family-requests module. 379 API tests and 212 parent-app tests pass.</w:t>
      </w:r>
    </w:p>
    <w:p>
      <w:pPr>
        <w:pStyle w:val="ListParagraph"/>
        <w:numPr>
          <w:ilvl w:val="0"/>
          <w:numId w:val="2"/>
        </w:numPr>
        <w:spacing w:after="60" w:line="264"/>
      </w:pPr>
      <w:r>
        <w:rPr>
          <w:rFonts w:ascii="Arial" w:cs="Arial" w:eastAsia="Arial" w:hAnsi="Arial"/>
          <w:sz w:val="20"/>
          <w:szCs w:val="20"/>
        </w:rPr>
        <w:t xml:space="preserve">Stage PR part 2 in progress: records retention, legal hold and guardian data export (OI-17).</w:t>
      </w:r>
    </w:p>
    <w:p>
      <w:pPr>
        <w:pStyle w:val="ListParagraph"/>
        <w:numPr>
          <w:ilvl w:val="0"/>
          <w:numId w:val="2"/>
        </w:numPr>
        <w:spacing w:after="60" w:line="264"/>
      </w:pPr>
      <w:r>
        <w:rPr>
          <w:rFonts w:ascii="Arial" w:cs="Arial" w:eastAsia="Arial" w:hAnsi="Arial"/>
          <w:sz w:val="20"/>
          <w:szCs w:val="20"/>
        </w:rPr>
        <w:t xml:space="preserve">Mocked or open: payment gateway (OI-12), CCS registration (OI-14), iOS builds, educator-app on-device storage (OI-22), the VPS being outside Australia (demo data only).</w:t>
      </w:r>
    </w:p>
    <w:p>
      <w:pPr>
        <w:pStyle w:val="Heading2"/>
        <w:spacing w:after="100" w:before="220"/>
      </w:pPr>
      <w:r>
        <w:rPr>
          <w:rFonts w:ascii="Arial" w:cs="Arial" w:eastAsia="Arial" w:hAnsi="Arial"/>
          <w:b/>
          <w:bCs/>
          <w:color w:val="1B3A5C"/>
          <w:sz w:val="24"/>
          <w:szCs w:val="24"/>
        </w:rPr>
        <w:t xml:space="preserve">14.2 Result of the USP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838"/>
      </w:tblGrid>
      <w:tr>
        <w:trPr>
          <w:tblHeader/>
        </w:trPr>
        <w:tc>
          <w:tcPr>
            <w:tcW w:type="dxa" w:w="25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Competitor USP</w:t>
            </w:r>
          </w:p>
        </w:tc>
        <w:tc>
          <w:tcPr>
            <w:tcW w:type="dxa" w:w="33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Covered in BRD v2.2?</w:t>
            </w:r>
          </w:p>
        </w:tc>
        <w:tc>
          <w:tcPr>
            <w:tcW w:type="dxa" w:w="38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Response</w:t>
            </w:r>
          </w:p>
        </w:tc>
      </w:tr>
      <w:tr>
        <w:trPr>
          <w:cantSplit/>
        </w:trPr>
        <w:tc>
          <w:tcPr>
            <w:tcW w:type="dxa" w:w="2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All-in-one platform</w:t>
            </w:r>
          </w:p>
        </w:tc>
        <w:tc>
          <w:tcPr>
            <w:tcW w:type="dxa" w:w="3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Mostly. Payroll is excluded by decision.</w:t>
            </w:r>
          </w:p>
        </w:tc>
        <w:tc>
          <w:tcPr>
            <w:tcW w:type="dxa" w:w="38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 change. Payroll stays integration-only (OI-19).</w:t>
            </w:r>
          </w:p>
        </w:tc>
      </w:tr>
      <w:tr>
        <w:trPr>
          <w:cantSplit/>
        </w:trPr>
        <w:tc>
          <w:tcPr>
            <w:tcW w:type="dxa" w:w="2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High customisability</w:t>
            </w:r>
          </w:p>
        </w:tc>
        <w:tc>
          <w:tcPr>
            <w:tcW w:type="dxa" w:w="3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Partly. No feature on/off, custom frameworks, templates or branding.</w:t>
            </w:r>
          </w:p>
        </w:tc>
        <w:tc>
          <w:tcPr>
            <w:tcW w:type="dxa" w:w="38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§36.1 (CUS-001–006).</w:t>
            </w:r>
          </w:p>
        </w:tc>
      </w:tr>
      <w:tr>
        <w:trPr>
          <w:cantSplit/>
        </w:trPr>
        <w:tc>
          <w:tcPr>
            <w:tcW w:type="dxa" w:w="2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Freemium, cost-effective model</w:t>
            </w:r>
          </w:p>
        </w:tc>
        <w:tc>
          <w:tcPr>
            <w:tcW w:type="dxa" w:w="3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 The BRD covers billing families, not packaging the platform.</w:t>
            </w:r>
          </w:p>
        </w:tc>
        <w:tc>
          <w:tcPr>
            <w:tcW w:type="dxa" w:w="38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§36.2 (PLT-001–006). Free core, paid per-child add-ons (OI-31).</w:t>
            </w:r>
          </w:p>
        </w:tc>
      </w:tr>
      <w:tr>
        <w:trPr>
          <w:cantSplit/>
        </w:trPr>
        <w:tc>
          <w:tcPr>
            <w:tcW w:type="dxa" w:w="2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Real-time compliance, ratios, 7-year records</w:t>
            </w:r>
          </w:p>
        </w:tc>
        <w:tc>
          <w:tcPr>
            <w:tcW w:type="dxa" w:w="3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Mostly. Ratios and compliance are Phase 2. No retention schedule or audit pack.</w:t>
            </w:r>
          </w:p>
        </w:tc>
        <w:tc>
          <w:tcPr>
            <w:tcW w:type="dxa" w:w="38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§36.3 (RET-001–005). The 7-year period is real for CCS records (OI-32).</w:t>
            </w:r>
          </w:p>
        </w:tc>
      </w:tr>
      <w:tr>
        <w:trPr>
          <w:cantSplit/>
        </w:trPr>
        <w:tc>
          <w:tcPr>
            <w:tcW w:type="dxa" w:w="2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Family engagement and payments</w:t>
            </w:r>
          </w:p>
        </w:tc>
        <w:tc>
          <w:tcPr>
            <w:tcW w:type="dxa" w:w="3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Mostly. Parents could not sign children in or out digitally.</w:t>
            </w:r>
          </w:p>
        </w:tc>
        <w:tc>
          <w:tcPr>
            <w:tcW w:type="dxa" w:w="38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PAR-015 added, as a centre option (OI-33).</w:t>
            </w:r>
          </w:p>
        </w:tc>
      </w:tr>
      <w:tr>
        <w:trPr>
          <w:cantSplit/>
        </w:trPr>
        <w:tc>
          <w:tcPr>
            <w:tcW w:type="dxa" w:w="2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Multi-site HQ control</w:t>
            </w:r>
          </w:p>
        </w:tc>
        <w:tc>
          <w:tcPr>
            <w:tcW w:type="dxa" w:w="3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Partly. Deferred to Phase 3 with no requirements.</w:t>
            </w:r>
          </w:p>
        </w:tc>
        <w:tc>
          <w:tcPr>
            <w:tcW w:type="dxa" w:w="38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§36.4 (HQ-001–006). Basic dashboard pulled into Phase 2.</w:t>
            </w:r>
          </w:p>
        </w:tc>
      </w:tr>
      <w:tr>
        <w:trPr>
          <w:cantSplit/>
        </w:trPr>
        <w:tc>
          <w:tcPr>
            <w:tcW w:type="dxa" w:w="2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parent assistance</w:t>
            </w:r>
          </w:p>
        </w:tc>
        <w:tc>
          <w:tcPr>
            <w:tcW w:type="dxa" w:w="3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Partly. Staff-facing assistant only.</w:t>
            </w:r>
          </w:p>
        </w:tc>
        <w:tc>
          <w:tcPr>
            <w:tcW w:type="dxa" w:w="38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§36.5 (AIP-001–007), Phase 3 add-on, Claude on Bedrock in Sydney (OI-34).</w:t>
            </w:r>
          </w:p>
        </w:tc>
      </w:tr>
    </w:tbl>
    <w:p>
      <w:pPr>
        <w:spacing w:after="80"/>
      </w:pPr>
    </w:p>
    <w:p>
      <w:pPr>
        <w:pStyle w:val="Heading2"/>
        <w:spacing w:after="100" w:before="220"/>
      </w:pPr>
      <w:r>
        <w:rPr>
          <w:rFonts w:ascii="Arial" w:cs="Arial" w:eastAsia="Arial" w:hAnsi="Arial"/>
          <w:b/>
          <w:bCs/>
          <w:color w:val="1B3A5C"/>
          <w:sz w:val="24"/>
          <w:szCs w:val="24"/>
        </w:rPr>
        <w:t xml:space="preserve">14.3 Update plan</w:t>
      </w:r>
    </w:p>
    <w:p>
      <w:pPr>
        <w:spacing w:after="120" w:line="276"/>
      </w:pPr>
      <w:r>
        <w:rPr>
          <w:rFonts w:ascii="Arial" w:cs="Arial" w:eastAsia="Arial" w:hAnsi="Arial"/>
          <w:sz w:val="20"/>
          <w:szCs w:val="20"/>
        </w:rPr>
        <w:t xml:space="preserve">The same execution model applies: sequential stages, tests before features, structured logging and audit on every endpoint, and a security review of touched modules. Sizes are relative (S, M, 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238"/>
        <w:gridCol w:w="1200"/>
      </w:tblGrid>
      <w:tr>
        <w:trPr>
          <w:tblHeader/>
        </w:trPr>
        <w:tc>
          <w:tcPr>
            <w:tcW w:type="dxa" w:w="15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Stage</w:t>
            </w:r>
          </w:p>
        </w:tc>
        <w:tc>
          <w:tcPr>
            <w:tcW w:type="dxa" w:w="47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Scope</w:t>
            </w:r>
          </w:p>
        </w:tc>
        <w:tc>
          <w:tcPr>
            <w:tcW w:type="dxa" w:w="22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Requirements</w:t>
            </w:r>
          </w:p>
        </w:tc>
        <w:tc>
          <w:tcPr>
            <w:tcW w:type="dxa" w:w="12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Size</w:t>
            </w:r>
          </w:p>
        </w:tc>
      </w:tr>
      <w:tr>
        <w:trPr>
          <w:cantSplit/>
        </w:trPr>
        <w:tc>
          <w:tcPr>
            <w:tcW w:type="dxa" w:w="1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 Pilot readiness</w:t>
            </w:r>
          </w:p>
        </w:tc>
        <w:tc>
          <w:tcPr>
            <w:tcW w:type="dxa" w:w="47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Refresh tokens (done); MFA enforcement (built, off by default in the demo pilot); read-access audit (done); retention policy, legal hold, departure and a dry-run plan, a maintenance-only purge job, guardian data export; security review and performance run; VPS redeploy; iOS builds.</w:t>
            </w:r>
          </w:p>
        </w:tc>
        <w:tc>
          <w:tcPr>
            <w:tcW w:type="dxa" w:w="22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OI-16, OI-17, OI-18, OI-28; RET-001–003, RET-005; PLT-005</w:t>
            </w:r>
          </w:p>
        </w:tc>
        <w:tc>
          <w:tcPr>
            <w:tcW w:type="dxa" w:w="12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w:t>
            </w:r>
          </w:p>
        </w:tc>
      </w:tr>
      <w:tr>
        <w:trPr>
          <w:cantSplit/>
        </w:trPr>
        <w:tc>
          <w:tcPr>
            <w:tcW w:type="dxa" w:w="1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U2b Learning finish</w:t>
            </w:r>
          </w:p>
        </w:tc>
        <w:tc>
          <w:tcPr>
            <w:tcW w:type="dxa" w:w="47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Educator-app learning screens; guardian responses; room programs; learning frameworks as configuration (EYLF, MTOP, then VEYLDF and the Queensland guideline, plus custom outcome sets).</w:t>
            </w:r>
          </w:p>
        </w:tc>
        <w:tc>
          <w:tcPr>
            <w:tcW w:type="dxa" w:w="22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BRD §10; CUS-002</w:t>
            </w:r>
          </w:p>
        </w:tc>
        <w:tc>
          <w:tcPr>
            <w:tcW w:type="dxa" w:w="12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w:t>
            </w:r>
          </w:p>
        </w:tc>
      </w:tr>
      <w:tr>
        <w:trPr>
          <w:cantSplit/>
        </w:trPr>
        <w:tc>
          <w:tcPr>
            <w:tcW w:type="dxa" w:w="1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U3b Parent and educator follow-ups</w:t>
            </w:r>
          </w:p>
        </w:tc>
        <w:tc>
          <w:tcPr>
            <w:tcW w:type="dxa" w:w="47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Educator-app pickup screen; notifications for new family requests; on-device storage; parent digital sign-in/out.</w:t>
            </w:r>
          </w:p>
        </w:tc>
        <w:tc>
          <w:tcPr>
            <w:tcW w:type="dxa" w:w="22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OI-22, OI-30; PAR-015</w:t>
            </w:r>
          </w:p>
        </w:tc>
        <w:tc>
          <w:tcPr>
            <w:tcW w:type="dxa" w:w="12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w:t>
            </w:r>
          </w:p>
        </w:tc>
      </w:tr>
      <w:tr>
        <w:trPr>
          <w:cantSplit/>
        </w:trPr>
        <w:tc>
          <w:tcPr>
            <w:tcW w:type="dxa" w:w="1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C0 Configuration and entitlements</w:t>
            </w:r>
          </w:p>
        </w:tc>
        <w:tc>
          <w:tcPr>
            <w:tcW w:type="dxa" w:w="47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Per-centre feature modules (safety-critical ones locked on); plan and entitlement tables checked on the server; protected-core rule; branding and philosophy. Built before U4 so new features are toggle-aware.</w:t>
            </w:r>
          </w:p>
        </w:tc>
        <w:tc>
          <w:tcPr>
            <w:tcW w:type="dxa" w:w="22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CUS-001, CUS-004; PLT-001, PLT-002</w:t>
            </w:r>
          </w:p>
        </w:tc>
        <w:tc>
          <w:tcPr>
            <w:tcW w:type="dxa" w:w="12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w:t>
            </w:r>
          </w:p>
        </w:tc>
      </w:tr>
      <w:tr>
        <w:trPr>
          <w:cantSplit/>
        </w:trPr>
        <w:tc>
          <w:tcPr>
            <w:tcW w:type="dxa" w:w="1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U4 Forms, health and calendar</w:t>
            </w:r>
          </w:p>
        </w:tc>
        <w:tc>
          <w:tcPr>
            <w:tcW w:type="dxa" w:w="47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As in section 13.4, built toggle-aware.</w:t>
            </w:r>
          </w:p>
        </w:tc>
        <w:tc>
          <w:tcPr>
            <w:tcW w:type="dxa" w:w="22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PAR-007</w:t>
            </w:r>
          </w:p>
        </w:tc>
        <w:tc>
          <w:tcPr>
            <w:tcW w:type="dxa" w:w="12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w:t>
            </w:r>
          </w:p>
        </w:tc>
      </w:tr>
      <w:tr>
        <w:trPr>
          <w:cantSplit/>
        </w:trPr>
        <w:tc>
          <w:tcPr>
            <w:tcW w:type="dxa" w:w="1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U5 Money and insight</w:t>
            </w:r>
          </w:p>
        </w:tc>
        <w:tc>
          <w:tcPr>
            <w:tcW w:type="dxa" w:w="47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As in section 13.4, plus a basic multi-site view and the area-manager role.</w:t>
            </w:r>
          </w:p>
        </w:tc>
        <w:tc>
          <w:tcPr>
            <w:tcW w:type="dxa" w:w="22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BIL-006/007; HQ-001, HQ-003, HQ-004</w:t>
            </w:r>
          </w:p>
        </w:tc>
        <w:tc>
          <w:tcPr>
            <w:tcW w:type="dxa" w:w="12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w:t>
            </w:r>
          </w:p>
        </w:tc>
      </w:tr>
      <w:tr>
        <w:trPr>
          <w:cantSplit/>
        </w:trPr>
        <w:tc>
          <w:tcPr>
            <w:tcW w:type="dxa" w:w="15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w:t>
            </w:r>
          </w:p>
        </w:tc>
        <w:tc>
          <w:tcPr>
            <w:tcW w:type="dxa" w:w="47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2A ratios and responsible person first, then 2B staff, timesheets and rostering, 2C service compliance with audit packs, 2D enrolment, documentation templates and add-ons.</w:t>
            </w:r>
          </w:p>
        </w:tc>
        <w:tc>
          <w:tcPr>
            <w:tcW w:type="dxa" w:w="22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 ROS, CMP, RET-004, CUS-003/005/006, PLT-003</w:t>
            </w:r>
          </w:p>
        </w:tc>
        <w:tc>
          <w:tcPr>
            <w:tcW w:type="dxa" w:w="12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 each</w:t>
            </w:r>
          </w:p>
        </w:tc>
      </w:tr>
      <w:tr>
        <w:trPr>
          <w:cantSplit/>
        </w:trPr>
        <w:tc>
          <w:tcPr>
            <w:tcW w:type="dxa" w:w="15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w:t>
            </w:r>
          </w:p>
        </w:tc>
        <w:tc>
          <w:tcPr>
            <w:tcW w:type="dxa" w:w="47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3A multi-site live ratios and central templates; 3B parent AI assistant; 3C subscription billing and usage metering.</w:t>
            </w:r>
          </w:p>
        </w:tc>
        <w:tc>
          <w:tcPr>
            <w:tcW w:type="dxa" w:w="22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HQ-002/005/006; AIP; PLT-004/006</w:t>
            </w:r>
          </w:p>
        </w:tc>
        <w:tc>
          <w:tcPr>
            <w:tcW w:type="dxa" w:w="12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 to L</w:t>
            </w:r>
          </w:p>
        </w:tc>
      </w:tr>
    </w:tbl>
    <w:p>
      <w:pPr>
        <w:spacing w:after="80"/>
      </w:pPr>
    </w:p>
    <w:p>
      <w:pPr>
        <w:spacing w:after="120" w:line="276"/>
      </w:pPr>
      <w:r>
        <w:rPr>
          <w:rFonts w:ascii="Arial" w:cs="Arial" w:eastAsia="Arial" w:hAnsi="Arial"/>
          <w:sz w:val="20"/>
          <w:szCs w:val="20"/>
        </w:rPr>
        <w:t xml:space="preserve">Recommended order: PR, U2b, U3b, C0, U4, U5, then Phase 2 (2A to 2D), then Phase 3. Re-run the security review and performance tests at the end of each stage that touches sign-in, money or child data.</w:t>
      </w:r>
    </w:p>
    <w:p>
      <w:pPr>
        <w:pStyle w:val="Heading2"/>
        <w:spacing w:after="100" w:before="220"/>
      </w:pPr>
      <w:r>
        <w:rPr>
          <w:rFonts w:ascii="Arial" w:cs="Arial" w:eastAsia="Arial" w:hAnsi="Arial"/>
          <w:b/>
          <w:bCs/>
          <w:color w:val="1B3A5C"/>
          <w:sz w:val="24"/>
          <w:szCs w:val="24"/>
        </w:rPr>
        <w:t xml:space="preserve">14.4 Decisions made (11 October 2026)</w:t>
      </w:r>
    </w:p>
    <w:p>
      <w:pPr>
        <w:pStyle w:val="ListParagraph"/>
        <w:numPr>
          <w:ilvl w:val="0"/>
          <w:numId w:val="2"/>
        </w:numPr>
        <w:spacing w:after="60" w:line="264"/>
      </w:pPr>
      <w:r>
        <w:rPr>
          <w:rFonts w:ascii="Arial" w:cs="Arial" w:eastAsia="Arial" w:hAnsi="Arial"/>
          <w:sz w:val="20"/>
          <w:szCs w:val="20"/>
        </w:rPr>
        <w:t xml:space="preserve">Adopt BRD v2.3. Payroll stays out of scope (reaffirms OI-19).</w:t>
      </w:r>
    </w:p>
    <w:p>
      <w:pPr>
        <w:pStyle w:val="ListParagraph"/>
        <w:numPr>
          <w:ilvl w:val="0"/>
          <w:numId w:val="2"/>
        </w:numPr>
        <w:spacing w:after="60" w:line="264"/>
      </w:pPr>
      <w:r>
        <w:rPr>
          <w:rFonts w:ascii="Arial" w:cs="Arial" w:eastAsia="Arial" w:hAnsi="Arial"/>
          <w:sz w:val="20"/>
          <w:szCs w:val="20"/>
        </w:rPr>
        <w:t xml:space="preserve">OI-31 pricing: the parent app is free to families. Centres get a free core (attendance, care records, family feed and messaging, announcements, basic forms and reports, full data export) and pay per enrolled child for add-ons (billing and CCS, learning, rostering and ratios, compliance, multi-site, AI assistant). Safety and compliance functions are never withheld. No price points are set.</w:t>
      </w:r>
    </w:p>
    <w:p>
      <w:pPr>
        <w:pStyle w:val="ListParagraph"/>
        <w:numPr>
          <w:ilvl w:val="0"/>
          <w:numId w:val="2"/>
        </w:numPr>
        <w:spacing w:after="60" w:line="264"/>
      </w:pPr>
      <w:r>
        <w:rPr>
          <w:rFonts w:ascii="Arial" w:cs="Arial" w:eastAsia="Arial" w:hAnsi="Arial"/>
          <w:sz w:val="20"/>
          <w:szCs w:val="20"/>
        </w:rPr>
        <w:t xml:space="preserve">OI-32 retention: the longest applicable minimum applies. Seven years for CCS and billing records and child attendance; incident, injury, trauma and illness records until the child is 25; centres may lengthen but never shorten. The seven-year CCS figure comes from Department of Education guidance seen through a search summary and must be confirmed on the source page.</w:t>
      </w:r>
    </w:p>
    <w:p>
      <w:pPr>
        <w:pStyle w:val="ListParagraph"/>
        <w:numPr>
          <w:ilvl w:val="0"/>
          <w:numId w:val="2"/>
        </w:numPr>
        <w:spacing w:after="60" w:line="264"/>
      </w:pPr>
      <w:r>
        <w:rPr>
          <w:rFonts w:ascii="Arial" w:cs="Arial" w:eastAsia="Arial" w:hAnsi="Arial"/>
          <w:sz w:val="20"/>
          <w:szCs w:val="20"/>
        </w:rPr>
        <w:t xml:space="preserve">OI-33: parent sign-in/out is allowed as a centre option, not required. OI-34: Claude on Amazon Bedrock in Sydney with cross-region inference limited to Sydney and Melbourne, PII redacted first. OI-35: add VEYLDF and the Queensland Kindergarten Learning Guideline plus custom outcome sets.</w:t>
      </w:r>
    </w:p>
    <w:p>
      <w:pPr>
        <w:pStyle w:val="ListParagraph"/>
        <w:numPr>
          <w:ilvl w:val="0"/>
          <w:numId w:val="2"/>
        </w:numPr>
        <w:spacing w:after="60" w:line="264"/>
      </w:pPr>
      <w:r>
        <w:rPr>
          <w:rFonts w:ascii="Arial" w:cs="Arial" w:eastAsia="Arial" w:hAnsi="Arial"/>
          <w:sz w:val="20"/>
          <w:szCs w:val="20"/>
        </w:rPr>
        <w:t xml:space="preserve">These five are working defaults chosen by Claude on the owner’s instruction, with sources in docs/decision-log.md. Compliance should confirm them before the stages that depend on them.</w:t>
      </w:r>
    </w:p>
    <w:p>
      <w:pPr>
        <w:pStyle w:val="Heading2"/>
        <w:spacing w:after="100" w:before="220"/>
      </w:pPr>
      <w:r>
        <w:rPr>
          <w:rFonts w:ascii="Arial" w:cs="Arial" w:eastAsia="Arial" w:hAnsi="Arial"/>
          <w:b/>
          <w:bCs/>
          <w:color w:val="1B3A5C"/>
          <w:sz w:val="24"/>
          <w:szCs w:val="24"/>
        </w:rPr>
        <w:t xml:space="preserve">14.5 Actions only the owner can take</w:t>
      </w:r>
    </w:p>
    <w:p>
      <w:pPr>
        <w:pStyle w:val="ListParagraph"/>
        <w:numPr>
          <w:ilvl w:val="0"/>
          <w:numId w:val="2"/>
        </w:numPr>
        <w:spacing w:after="60" w:line="264"/>
      </w:pPr>
      <w:r>
        <w:rPr>
          <w:rFonts w:ascii="Arial" w:cs="Arial" w:eastAsia="Arial" w:hAnsi="Arial"/>
          <w:sz w:val="20"/>
          <w:szCs w:val="20"/>
        </w:rPr>
        <w:t xml:space="preserve">Redeploy the VPS (git pull, then deploy.sh) and rebuild both Android apps with EAS; both need the owner’s access.</w:t>
      </w:r>
    </w:p>
    <w:p>
      <w:pPr>
        <w:pStyle w:val="ListParagraph"/>
        <w:numPr>
          <w:ilvl w:val="0"/>
          <w:numId w:val="2"/>
        </w:numPr>
        <w:spacing w:after="60" w:line="264"/>
      </w:pPr>
      <w:r>
        <w:rPr>
          <w:rFonts w:ascii="Arial" w:cs="Arial" w:eastAsia="Arial" w:hAnsi="Arial"/>
          <w:sz w:val="20"/>
          <w:szCs w:val="20"/>
        </w:rPr>
        <w:t xml:space="preserve">Apple Developer account and registered devices for iOS builds.</w:t>
      </w:r>
    </w:p>
    <w:p>
      <w:pPr>
        <w:pStyle w:val="ListParagraph"/>
        <w:numPr>
          <w:ilvl w:val="0"/>
          <w:numId w:val="2"/>
        </w:numPr>
        <w:spacing w:after="60" w:line="264"/>
      </w:pPr>
      <w:r>
        <w:rPr>
          <w:rFonts w:ascii="Arial" w:cs="Arial" w:eastAsia="Arial" w:hAnsi="Arial"/>
          <w:sz w:val="20"/>
          <w:szCs w:val="20"/>
        </w:rPr>
        <w:t xml:space="preserve">Payment merchant account (OI-12) and CCS registration (OI-05, OI-14).</w:t>
      </w:r>
    </w:p>
    <w:p>
      <w:pPr>
        <w:pStyle w:val="ListParagraph"/>
        <w:numPr>
          <w:ilvl w:val="0"/>
          <w:numId w:val="2"/>
        </w:numPr>
        <w:spacing w:after="60" w:line="264"/>
      </w:pPr>
      <w:r>
        <w:rPr>
          <w:rFonts w:ascii="Arial" w:cs="Arial" w:eastAsia="Arial" w:hAnsi="Arial"/>
          <w:sz w:val="20"/>
          <w:szCs w:val="20"/>
        </w:rPr>
        <w:t xml:space="preserve">Set MFA_ENFORCEMENT=required on the server before any real family uses it.</w:t>
      </w:r>
    </w:p>
    <w:p>
      <w:pPr>
        <w:pStyle w:val="Heading1"/>
        <w:spacing w:after="140" w:before="320"/>
      </w:pPr>
      <w:r>
        <w:rPr>
          <w:rFonts w:ascii="Arial" w:cs="Arial" w:eastAsia="Arial" w:hAnsi="Arial"/>
          <w:b/>
          <w:bCs/>
          <w:color w:val="1B3A5C"/>
          <w:sz w:val="30"/>
          <w:szCs w:val="30"/>
        </w:rPr>
        <w:t xml:space="preserve">Sources and starting points</w:t>
      </w:r>
    </w:p>
    <w:p>
      <w:pPr>
        <w:pStyle w:val="ListParagraph"/>
        <w:numPr>
          <w:ilvl w:val="0"/>
          <w:numId w:val="2"/>
        </w:numPr>
        <w:spacing w:after="60" w:line="264"/>
      </w:pPr>
      <w:r>
        <w:rPr>
          <w:rFonts w:ascii="Arial" w:cs="Arial" w:eastAsia="Arial" w:hAnsi="Arial"/>
          <w:sz w:val="20"/>
          <w:szCs w:val="20"/>
        </w:rPr>
        <w:t xml:space="preserve">Australian Government Department of Education – registered child care software and the Child Care Subsidy system pages (education.gov.au/early-childhood/providers). Not read in detail for this plan; confirm directly.</w:t>
      </w:r>
    </w:p>
    <w:p>
      <w:pPr>
        <w:pStyle w:val="ListParagraph"/>
        <w:numPr>
          <w:ilvl w:val="0"/>
          <w:numId w:val="2"/>
        </w:numPr>
        <w:spacing w:after="60" w:line="264"/>
      </w:pPr>
      <w:r>
        <w:rPr>
          <w:rFonts w:ascii="Arial" w:cs="Arial" w:eastAsia="Arial" w:hAnsi="Arial"/>
          <w:sz w:val="20"/>
          <w:szCs w:val="20"/>
        </w:rPr>
        <w:t xml:space="preserve">Services Australia – child care providers, PRODA information.</w:t>
      </w:r>
    </w:p>
    <w:p>
      <w:pPr>
        <w:pStyle w:val="ListParagraph"/>
        <w:numPr>
          <w:ilvl w:val="0"/>
          <w:numId w:val="2"/>
        </w:numPr>
        <w:spacing w:after="60" w:line="264"/>
      </w:pPr>
      <w:r>
        <w:rPr>
          <w:rFonts w:ascii="Arial" w:cs="Arial" w:eastAsia="Arial" w:hAnsi="Arial"/>
          <w:sz w:val="20"/>
          <w:szCs w:val="20"/>
        </w:rPr>
        <w:t xml:space="preserve">ACECQA – educator-to-child ratios and the ratio calculator (acecqa.gov.au/nqf/educator-to-child-ratios).</w:t>
      </w:r>
    </w:p>
    <w:p>
      <w:pPr>
        <w:pStyle w:val="ListParagraph"/>
        <w:numPr>
          <w:ilvl w:val="0"/>
          <w:numId w:val="2"/>
        </w:numPr>
        <w:spacing w:after="60" w:line="264"/>
      </w:pPr>
      <w:r>
        <w:rPr>
          <w:rFonts w:ascii="Arial" w:cs="Arial" w:eastAsia="Arial" w:hAnsi="Arial"/>
          <w:sz w:val="20"/>
          <w:szCs w:val="20"/>
        </w:rPr>
        <w:t xml:space="preserve">BRD v2.2 (Next_Gen_Childcare_BRD_v2.2.docx), including Sections 13A and 13B and Appendix C. Supersedes v2.1.</w:t>
      </w:r>
    </w:p>
    <w:p>
      <w:pPr>
        <w:pStyle w:val="ListParagraph"/>
        <w:numPr>
          <w:ilvl w:val="0"/>
          <w:numId w:val="2"/>
        </w:numPr>
        <w:spacing w:after="60" w:line="264"/>
      </w:pPr>
      <w:r>
        <w:rPr>
          <w:rFonts w:ascii="Arial" w:cs="Arial" w:eastAsia="Arial" w:hAnsi="Arial"/>
          <w:sz w:val="20"/>
          <w:szCs w:val="20"/>
        </w:rPr>
        <w:t xml:space="preserve">OWNA website (owna.com.au) and parent app feature page (owna.app/features/childcare-app-for-parents). Viewed 4 October 2026.</w:t>
      </w:r>
    </w:p>
    <w:p>
      <w:pPr>
        <w:pStyle w:val="ListParagraph"/>
        <w:numPr>
          <w:ilvl w:val="0"/>
          <w:numId w:val="2"/>
        </w:numPr>
        <w:spacing w:after="60" w:line="264"/>
      </w:pPr>
      <w:r>
        <w:rPr>
          <w:rFonts w:ascii="Arial" w:cs="Arial" w:eastAsia="Arial" w:hAnsi="Arial"/>
          <w:sz w:val="20"/>
          <w:szCs w:val="20"/>
        </w:rPr>
        <w:t xml:space="preserve">OWNA Childcare App on the Apple App Store, Australia (apps.apple.com/au/app/owna-childcare-app/id1318604128): description, rating and reviews. Viewed 4 October 2026.</w:t>
      </w:r>
    </w:p>
    <w:p>
      <w:pPr>
        <w:pStyle w:val="ListParagraph"/>
        <w:numPr>
          <w:ilvl w:val="0"/>
          <w:numId w:val="2"/>
        </w:numPr>
        <w:spacing w:after="60" w:line="264"/>
      </w:pPr>
      <w:r>
        <w:rPr>
          <w:rFonts w:ascii="Arial" w:cs="Arial" w:eastAsia="Arial" w:hAnsi="Arial"/>
          <w:sz w:val="20"/>
          <w:szCs w:val="20"/>
        </w:rPr>
        <w:t xml:space="preserve">OWNA features and reviews on GetApp (getapp.com/education-childcare-software/a/owna/features). Viewed 4 October 2026.</w:t>
      </w:r>
    </w:p>
    <w:p>
      <w:pPr>
        <w:pStyle w:val="ListParagraph"/>
        <w:numPr>
          <w:ilvl w:val="0"/>
          <w:numId w:val="2"/>
        </w:numPr>
        <w:spacing w:after="60" w:line="264"/>
      </w:pPr>
      <w:r>
        <w:rPr>
          <w:rFonts w:ascii="Arial" w:cs="Arial" w:eastAsia="Arial" w:hAnsi="Arial"/>
          <w:sz w:val="20"/>
          <w:szCs w:val="20"/>
        </w:rPr>
        <w:t xml:space="preserve">BRD v2.3 (Next_Gen_Childcare_BRD_v2.3.docx), section 36. Supersedes v2.2 for scope; v2.2 is kept for history.</w:t>
      </w:r>
    </w:p>
    <w:p>
      <w:pPr>
        <w:pStyle w:val="ListParagraph"/>
        <w:numPr>
          <w:ilvl w:val="0"/>
          <w:numId w:val="2"/>
        </w:numPr>
        <w:spacing w:after="60" w:line="264"/>
      </w:pPr>
      <w:r>
        <w:rPr>
          <w:rFonts w:ascii="Arial" w:cs="Arial" w:eastAsia="Arial" w:hAnsi="Arial"/>
          <w:sz w:val="20"/>
          <w:szCs w:val="20"/>
        </w:rPr>
        <w:t xml:space="preserve">Education and Care Services National Regulations, regulation 183 (record retention), as summarised by Meridian Lawyers and ACECQA. Seen 11 October 2026.</w:t>
      </w:r>
    </w:p>
    <w:p>
      <w:pPr>
        <w:pStyle w:val="ListParagraph"/>
        <w:numPr>
          <w:ilvl w:val="0"/>
          <w:numId w:val="2"/>
        </w:numPr>
        <w:spacing w:after="60" w:line="264"/>
      </w:pPr>
      <w:r>
        <w:rPr>
          <w:rFonts w:ascii="Arial" w:cs="Arial" w:eastAsia="Arial" w:hAnsi="Arial"/>
          <w:sz w:val="20"/>
          <w:szCs w:val="20"/>
        </w:rPr>
        <w:t xml:space="preserve">Department of Education, “What records you need to keep” (education.gov.au/early-childhood/providers/howto/record-keeping): seen only as a search summary on 11 October 2026; the page timed out when opened. Confirm directly.</w:t>
      </w:r>
    </w:p>
    <w:p>
      <w:pPr>
        <w:pStyle w:val="ListParagraph"/>
        <w:numPr>
          <w:ilvl w:val="0"/>
          <w:numId w:val="2"/>
        </w:numPr>
        <w:spacing w:after="60" w:line="264"/>
      </w:pPr>
      <w:r>
        <w:rPr>
          <w:rFonts w:ascii="Arial" w:cs="Arial" w:eastAsia="Arial" w:hAnsi="Arial"/>
          <w:sz w:val="20"/>
          <w:szCs w:val="20"/>
        </w:rPr>
        <w:t xml:space="preserve">Amazon Bedrock cross-region inference for Australia (Sydney and Melbourne), AWS announcement summaries. Seen 11 October 2026; confirm current model availability.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2"/>
        <w:sz w:val="16"/>
        <w:szCs w:val="16"/>
      </w:rPr>
      <w:t xml:space="preserve">Next-Gen Childcare Platform | Delivery Plan (BRD v2.2)</w:t>
    </w:r>
    <w:r>
      <w:rPr>
        <w:rFonts w:ascii="Arial" w:cs="Arial" w:eastAsia="Arial" w:hAnsi="Arial"/>
        <w:color w:val="5A6472"/>
        <w:sz w:val="16"/>
        <w:szCs w:val="16"/>
      </w:rPr>
      <w:t xml:space="preserve">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Childcare Delivery Plan</dc:title>
  <dc:creator>Product Team</dc:creator>
  <cp:lastModifiedBy>Un-named</cp:lastModifiedBy>
  <cp:revision>1</cp:revision>
  <dcterms:created xsi:type="dcterms:W3CDTF">2026-10-02T12:04:32.092Z</dcterms:created>
  <dcterms:modified xsi:type="dcterms:W3CDTF">2026-10-02T12:04:32.097Z</dcterms:modified>
</cp:coreProperties>
</file>

<file path=docProps/custom.xml><?xml version="1.0" encoding="utf-8"?>
<Properties xmlns="http://schemas.openxmlformats.org/officeDocument/2006/custom-properties" xmlns:vt="http://schemas.openxmlformats.org/officeDocument/2006/docPropsVTypes"/>
</file>