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color w:val="5A6472"/>
          <w:sz w:val="22"/>
          <w:szCs w:val="22"/>
        </w:rPr>
        <w:t xml:space="preserve">BUSINESS REQUIREMENTS DOCUMENT</w:t>
      </w:r>
    </w:p>
    <w:p>
      <w:pPr>
        <w:spacing w:after="60"/>
        <w:jc w:val="center"/>
      </w:pPr>
      <w:r>
        <w:rPr>
          <w:rFonts w:ascii="Arial" w:cs="Arial" w:eastAsia="Arial" w:hAnsi="Arial"/>
          <w:b/>
          <w:bCs/>
          <w:color w:val="1B3A5C"/>
          <w:sz w:val="44"/>
          <w:szCs w:val="44"/>
        </w:rPr>
        <w:t xml:space="preserve">Next-Gen Childcare Management</w:t>
      </w:r>
    </w:p>
    <w:p>
      <w:pPr>
        <w:spacing w:after="200"/>
        <w:jc w:val="center"/>
      </w:pPr>
      <w:r>
        <w:rPr>
          <w:rFonts w:ascii="Arial" w:cs="Arial" w:eastAsia="Arial" w:hAnsi="Arial"/>
          <w:b/>
          <w:bCs/>
          <w:color w:val="1B3A5C"/>
          <w:sz w:val="44"/>
          <w:szCs w:val="44"/>
        </w:rPr>
        <w:t xml:space="preserve">&amp; Family Experience Platform</w:t>
      </w:r>
    </w:p>
    <w:p>
      <w:pPr>
        <w:spacing w:after="900"/>
        <w:jc w:val="center"/>
      </w:pPr>
      <w:r>
        <w:rPr>
          <w:rFonts w:ascii="Arial" w:cs="Arial" w:eastAsia="Arial" w:hAnsi="Arial"/>
          <w:color w:val="5A6472"/>
          <w:sz w:val="24"/>
          <w:szCs w:val="24"/>
        </w:rPr>
        <w:t xml:space="preserve">Developer-Ready BRD | Australia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Field</w:t>
            </w:r>
          </w:p>
        </w:tc>
        <w:tc>
          <w:tcPr>
            <w:tcW w:type="dxa" w:w="72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Detail</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Document</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Business Requirements Document (BRD)</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Version</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2.1 – Developer Ready (revised)</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Market</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Primary Users</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owners/operators, administrators, educators, parents/guardians</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Platforms</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mobile app, Educator mobile/tablet app, Centre web portal</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Hosting</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Australian data residency (e.g. AWS ap-southeast-2, Sydney)</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Status</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definition / development briefing</w:t>
            </w:r>
          </w:p>
        </w:tc>
      </w:tr>
    </w:tbl>
    <w:p>
      <w:pPr>
        <w:spacing w:after="80"/>
      </w:pPr>
    </w:p>
    <w:p>
      <w:pPr>
        <w:spacing w:before="600"/>
      </w:pPr>
      <w:r>
        <w:rPr>
          <w:rFonts w:ascii="Arial" w:cs="Arial" w:eastAsia="Arial" w:hAnsi="Arial"/>
          <w:color w:val="5A6472"/>
          <w:sz w:val="16"/>
          <w:szCs w:val="16"/>
        </w:rPr>
        <w:t xml:space="preserve">Confidential product concept – intended for evaluation and software development discussions.</w:t>
      </w:r>
    </w:p>
    <w:p>
      <w:r>
        <w:br w:type="page"/>
      </w:r>
    </w:p>
    <w:p>
      <w:pPr>
        <w:spacing w:after="140" w:before="0"/>
      </w:pPr>
      <w:r>
        <w:rPr>
          <w:rFonts w:ascii="Arial" w:cs="Arial" w:eastAsia="Arial" w:hAnsi="Arial"/>
          <w:b/>
          <w:bCs/>
          <w:color w:val="1B3A5C"/>
          <w:sz w:val="30"/>
          <w:szCs w:val="3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542"/>
        <w:gridCol w:w="6939"/>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Version</w:t>
            </w:r>
          </w:p>
        </w:tc>
        <w:tc>
          <w:tcPr>
            <w:tcW w:type="dxa" w:w="154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Date</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Summary of changes</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2.0</w:t>
            </w:r>
          </w:p>
        </w:tc>
        <w:tc>
          <w:tcPr>
            <w:tcW w:type="dxa" w:w="154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Developer-ready BRD issued for evaluation.</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2.1</w:t>
            </w:r>
          </w:p>
        </w:tc>
        <w:tc>
          <w:tcPr>
            <w:tcW w:type="dxa" w:w="154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28 Sep 2026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Scope decisions applied: full billing and payments moved into MVP/Phase 1; MVP row and other truncated entries completed; new Section 13A (Educator-to-Child Ratios &amp; Rostering); Australian data residency mandated; data migration excluded from MVP; NFR numeric targets marked To Be Confirmed; new Appendix C (Open Items).</w:t>
            </w:r>
          </w:p>
        </w:tc>
      </w:tr>
    </w:tbl>
    <w:p>
      <w:pPr>
        <w:spacing w:after="80"/>
      </w:pPr>
    </w:p>
    <w:p>
      <w:pPr>
        <w:spacing w:after="140" w:before="200"/>
      </w:pPr>
      <w:r>
        <w:rPr>
          <w:rFonts w:ascii="Arial" w:cs="Arial" w:eastAsia="Arial" w:hAnsi="Arial"/>
          <w:b/>
          <w:bCs/>
          <w:color w:val="1B3A5C"/>
          <w:sz w:val="26"/>
          <w:szCs w:val="26"/>
        </w:rPr>
        <w:t xml:space="preserve">Changes in v2.1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602"/>
        <w:gridCol w:w="4626"/>
        <w:gridCol w:w="1928"/>
      </w:tblGrid>
      <w:tr>
        <w:trPr>
          <w:tblHeader/>
        </w:trPr>
        <w:tc>
          <w:tcPr>
            <w:tcW w:type="dxa" w:w="48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t>
            </w:r>
          </w:p>
        </w:tc>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Decision / Issue</w:t>
            </w:r>
          </w:p>
        </w:tc>
        <w:tc>
          <w:tcPr>
            <w:tcW w:type="dxa" w:w="462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Resolution</w:t>
            </w:r>
          </w:p>
        </w:tc>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Sections affected</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MVP row in §24 was truncated.</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Completed from the document context (§5, §7, §8, §12–§18) and the decisions below.</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§24</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PAR-009 (invoices/fee breakdowns) is Must but billing sat in Phase 2.</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Full billing and payments are Must for Phase 1. Billing requirements BIL-001–BIL-014 added. CCS integration moved to Phase 1 because gap fees cannot be finalised without it.</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 §12, §15, §21, §24, §26, §27</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Ratios and rostering listed in Phase 2 with no requirements.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Section 13A specifies ratio compliance (RAT-001–RAT-014) and rostering (ROS-001–ROS-010). Remains Phase 2.</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§12, §13A, §23, §24, §26, §27</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4</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NFR targets open / Performance row truncated.</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Row text completed; numeric targets (performance, RPO/RTO, accessibility level) marked To Be Confirmed and tracked in Appendix C.</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§19, Appendix C</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residency not stated.</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 production data, backups, media and logs containing personal information hosted in Australia.</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§18, §19, §20</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6</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migration only a proposal question.</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Migration from incumbent systems is out of scope for MVP. Centres onboard via manual/assisted setup.</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§31, §32</w:t>
            </w:r>
          </w:p>
        </w:tc>
      </w:tr>
    </w:tbl>
    <w:p>
      <w:pPr>
        <w:spacing w:after="80"/>
      </w:pPr>
    </w:p>
    <w:p>
      <w:r>
        <w:rPr>
          <w:rFonts w:ascii="Arial" w:cs="Arial" w:eastAsia="Arial" w:hAnsi="Arial"/>
          <w:color w:val="5A6472"/>
          <w:sz w:val="18"/>
          <w:szCs w:val="18"/>
        </w:rPr>
        <w:t xml:space="preserve">Sections changed in this version carry an </w:t>
      </w:r>
      <w:r>
        <w:rPr>
          <w:rFonts w:ascii="Arial" w:cs="Arial" w:eastAsia="Arial" w:hAnsi="Arial"/>
          <w:b/>
          <w:bCs/>
          <w:color w:val="B45309"/>
          <w:sz w:val="18"/>
          <w:szCs w:val="18"/>
        </w:rPr>
        <w:t xml:space="preserve">“Updated in v2.1”</w:t>
      </w:r>
      <w:r>
        <w:rPr>
          <w:rFonts w:ascii="Arial" w:cs="Arial" w:eastAsia="Arial" w:hAnsi="Arial"/>
          <w:color w:val="5A6472"/>
          <w:sz w:val="18"/>
          <w:szCs w:val="18"/>
        </w:rPr>
        <w:t xml:space="preserve"> note beneath the heading.</w:t>
      </w:r>
    </w:p>
    <w:p>
      <w:r>
        <w:br w:type="page"/>
      </w:r>
    </w:p>
    <w:p>
      <w:pPr>
        <w:spacing w:after="140"/>
      </w:pPr>
      <w:r>
        <w:rPr>
          <w:rFonts w:ascii="Arial" w:cs="Arial" w:eastAsia="Arial" w:hAnsi="Arial"/>
          <w:b/>
          <w:bCs/>
          <w:color w:val="1B3A5C"/>
          <w:sz w:val="30"/>
          <w:szCs w:val="30"/>
        </w:rPr>
        <w:t xml:space="preserve">Contents</w:t>
      </w:r>
    </w:p>
    <w:p>
      <w:pPr>
        <w:spacing w:after="40"/>
      </w:pPr>
      <w:r>
        <w:rPr>
          <w:rFonts w:ascii="Arial" w:cs="Arial" w:eastAsia="Arial" w:hAnsi="Arial"/>
          <w:sz w:val="19"/>
          <w:szCs w:val="19"/>
        </w:rPr>
        <w:t xml:space="preserve">1. Executive Summary</w:t>
      </w:r>
    </w:p>
    <w:p>
      <w:pPr>
        <w:spacing w:after="40"/>
      </w:pPr>
      <w:r>
        <w:rPr>
          <w:rFonts w:ascii="Arial" w:cs="Arial" w:eastAsia="Arial" w:hAnsi="Arial"/>
          <w:sz w:val="19"/>
          <w:szCs w:val="19"/>
        </w:rPr>
        <w:t xml:space="preserve">2. Product Vision &amp; Objectives</w:t>
      </w:r>
    </w:p>
    <w:p>
      <w:pPr>
        <w:spacing w:after="40"/>
      </w:pPr>
      <w:r>
        <w:rPr>
          <w:rFonts w:ascii="Arial" w:cs="Arial" w:eastAsia="Arial" w:hAnsi="Arial"/>
          <w:sz w:val="19"/>
          <w:szCs w:val="19"/>
        </w:rPr>
        <w:t xml:space="preserve">3. Target Users &amp; Personas</w:t>
      </w:r>
    </w:p>
    <w:p>
      <w:pPr>
        <w:spacing w:after="40"/>
      </w:pPr>
      <w:r>
        <w:rPr>
          <w:rFonts w:ascii="Arial" w:cs="Arial" w:eastAsia="Arial" w:hAnsi="Arial"/>
          <w:sz w:val="19"/>
          <w:szCs w:val="19"/>
        </w:rPr>
        <w:t xml:space="preserve">4. Business Problems to Solve</w:t>
      </w:r>
    </w:p>
    <w:p>
      <w:pPr>
        <w:spacing w:after="40"/>
      </w:pPr>
      <w:r>
        <w:rPr>
          <w:rFonts w:ascii="Arial" w:cs="Arial" w:eastAsia="Arial" w:hAnsi="Arial"/>
          <w:sz w:val="19"/>
          <w:szCs w:val="19"/>
        </w:rPr>
        <w:t xml:space="preserve">5. Product Scope</w:t>
      </w:r>
    </w:p>
    <w:p>
      <w:pPr>
        <w:spacing w:after="40"/>
      </w:pPr>
      <w:r>
        <w:rPr>
          <w:rFonts w:ascii="Arial" w:cs="Arial" w:eastAsia="Arial" w:hAnsi="Arial"/>
          <w:sz w:val="19"/>
          <w:szCs w:val="19"/>
        </w:rPr>
        <w:t xml:space="preserve">6. Core User Experience Requirements</w:t>
      </w:r>
    </w:p>
    <w:p>
      <w:pPr>
        <w:spacing w:after="40"/>
      </w:pPr>
      <w:r>
        <w:rPr>
          <w:rFonts w:ascii="Arial" w:cs="Arial" w:eastAsia="Arial" w:hAnsi="Arial"/>
          <w:sz w:val="19"/>
          <w:szCs w:val="19"/>
        </w:rPr>
        <w:t xml:space="preserve">7. Parent Mobile Application Requirements</w:t>
      </w:r>
    </w:p>
    <w:p>
      <w:pPr>
        <w:spacing w:after="40"/>
      </w:pPr>
      <w:r>
        <w:rPr>
          <w:rFonts w:ascii="Arial" w:cs="Arial" w:eastAsia="Arial" w:hAnsi="Arial"/>
          <w:sz w:val="19"/>
          <w:szCs w:val="19"/>
        </w:rPr>
        <w:t xml:space="preserve">8. Educator Application Requirements</w:t>
      </w:r>
    </w:p>
    <w:p>
      <w:pPr>
        <w:spacing w:after="40"/>
      </w:pPr>
      <w:r>
        <w:rPr>
          <w:rFonts w:ascii="Arial" w:cs="Arial" w:eastAsia="Arial" w:hAnsi="Arial"/>
          <w:sz w:val="19"/>
          <w:szCs w:val="19"/>
        </w:rPr>
        <w:t xml:space="preserve">9. Group Logging &amp; Efficiency</w:t>
      </w:r>
    </w:p>
    <w:p>
      <w:pPr>
        <w:spacing w:after="40"/>
      </w:pPr>
      <w:r>
        <w:rPr>
          <w:rFonts w:ascii="Arial" w:cs="Arial" w:eastAsia="Arial" w:hAnsi="Arial"/>
          <w:sz w:val="19"/>
          <w:szCs w:val="19"/>
        </w:rPr>
        <w:t xml:space="preserve">10. Learning &amp; Curriculum Documentation</w:t>
      </w:r>
    </w:p>
    <w:p>
      <w:pPr>
        <w:spacing w:after="40"/>
      </w:pPr>
      <w:r>
        <w:rPr>
          <w:rFonts w:ascii="Arial" w:cs="Arial" w:eastAsia="Arial" w:hAnsi="Arial"/>
          <w:sz w:val="19"/>
          <w:szCs w:val="19"/>
        </w:rPr>
        <w:t xml:space="preserve">11. AI-Assisted Features</w:t>
      </w:r>
    </w:p>
    <w:p>
      <w:pPr>
        <w:spacing w:after="40"/>
      </w:pPr>
      <w:r>
        <w:rPr>
          <w:rFonts w:ascii="Arial" w:cs="Arial" w:eastAsia="Arial" w:hAnsi="Arial"/>
          <w:sz w:val="19"/>
          <w:szCs w:val="19"/>
        </w:rPr>
        <w:t xml:space="preserve">12. Centre Administration Web Portal</w:t>
      </w:r>
    </w:p>
    <w:p>
      <w:pPr>
        <w:spacing w:after="40"/>
      </w:pPr>
      <w:r>
        <w:rPr>
          <w:rFonts w:ascii="Arial" w:cs="Arial" w:eastAsia="Arial" w:hAnsi="Arial"/>
          <w:sz w:val="19"/>
          <w:szCs w:val="19"/>
        </w:rPr>
        <w:t xml:space="preserve">13. Attendance, Pickup &amp; Child Safety</w:t>
      </w:r>
    </w:p>
    <w:p>
      <w:pPr>
        <w:spacing w:after="40"/>
      </w:pPr>
      <w:r>
        <w:rPr>
          <w:rFonts w:ascii="Arial" w:cs="Arial" w:eastAsia="Arial" w:hAnsi="Arial"/>
          <w:sz w:val="19"/>
          <w:szCs w:val="19"/>
        </w:rPr>
        <w:t xml:space="preserve">13A. Educator-to-Child Ratios &amp; Rostering</w:t>
      </w:r>
    </w:p>
    <w:p>
      <w:pPr>
        <w:spacing w:after="40"/>
      </w:pPr>
      <w:r>
        <w:rPr>
          <w:rFonts w:ascii="Arial" w:cs="Arial" w:eastAsia="Arial" w:hAnsi="Arial"/>
          <w:sz w:val="19"/>
          <w:szCs w:val="19"/>
        </w:rPr>
        <w:t xml:space="preserve">14. Medication &amp; Incident Management</w:t>
      </w:r>
    </w:p>
    <w:p>
      <w:pPr>
        <w:spacing w:after="40"/>
      </w:pPr>
      <w:r>
        <w:rPr>
          <w:rFonts w:ascii="Arial" w:cs="Arial" w:eastAsia="Arial" w:hAnsi="Arial"/>
          <w:sz w:val="19"/>
          <w:szCs w:val="19"/>
        </w:rPr>
        <w:t xml:space="preserve">15. Billing &amp; Child Care Subsidy (CCS)</w:t>
      </w:r>
    </w:p>
    <w:p>
      <w:pPr>
        <w:spacing w:after="40"/>
      </w:pPr>
      <w:r>
        <w:rPr>
          <w:rFonts w:ascii="Arial" w:cs="Arial" w:eastAsia="Arial" w:hAnsi="Arial"/>
          <w:sz w:val="19"/>
          <w:szCs w:val="19"/>
        </w:rPr>
        <w:t xml:space="preserve">16. Notifications &amp; Communication</w:t>
      </w:r>
    </w:p>
    <w:p>
      <w:pPr>
        <w:spacing w:after="40"/>
      </w:pPr>
      <w:r>
        <w:rPr>
          <w:rFonts w:ascii="Arial" w:cs="Arial" w:eastAsia="Arial" w:hAnsi="Arial"/>
          <w:sz w:val="19"/>
          <w:szCs w:val="19"/>
        </w:rPr>
        <w:t xml:space="preserve">17. Media Management</w:t>
      </w:r>
    </w:p>
    <w:p>
      <w:pPr>
        <w:spacing w:after="40"/>
      </w:pPr>
      <w:r>
        <w:rPr>
          <w:rFonts w:ascii="Arial" w:cs="Arial" w:eastAsia="Arial" w:hAnsi="Arial"/>
          <w:sz w:val="19"/>
          <w:szCs w:val="19"/>
        </w:rPr>
        <w:t xml:space="preserve">18. Privacy, Security &amp; Compliance</w:t>
      </w:r>
    </w:p>
    <w:p>
      <w:pPr>
        <w:spacing w:after="40"/>
      </w:pPr>
      <w:r>
        <w:rPr>
          <w:rFonts w:ascii="Arial" w:cs="Arial" w:eastAsia="Arial" w:hAnsi="Arial"/>
          <w:sz w:val="19"/>
          <w:szCs w:val="19"/>
        </w:rPr>
        <w:t xml:space="preserve">19. Non-Functional Requirements</w:t>
      </w:r>
    </w:p>
    <w:p>
      <w:pPr>
        <w:spacing w:after="40"/>
      </w:pPr>
      <w:r>
        <w:rPr>
          <w:rFonts w:ascii="Arial" w:cs="Arial" w:eastAsia="Arial" w:hAnsi="Arial"/>
          <w:sz w:val="19"/>
          <w:szCs w:val="19"/>
        </w:rPr>
        <w:t xml:space="preserve">20. Suggested Technical Architecture – To Be Designed by Development Team</w:t>
      </w:r>
    </w:p>
    <w:p>
      <w:pPr>
        <w:spacing w:after="40"/>
      </w:pPr>
      <w:r>
        <w:rPr>
          <w:rFonts w:ascii="Arial" w:cs="Arial" w:eastAsia="Arial" w:hAnsi="Arial"/>
          <w:sz w:val="19"/>
          <w:szCs w:val="19"/>
        </w:rPr>
        <w:t xml:space="preserve">21. Integrations</w:t>
      </w:r>
    </w:p>
    <w:p>
      <w:pPr>
        <w:spacing w:after="40"/>
      </w:pPr>
      <w:r>
        <w:rPr>
          <w:rFonts w:ascii="Arial" w:cs="Arial" w:eastAsia="Arial" w:hAnsi="Arial"/>
          <w:sz w:val="19"/>
          <w:szCs w:val="19"/>
        </w:rPr>
        <w:t xml:space="preserve">22. Business Rules</w:t>
      </w:r>
    </w:p>
    <w:p>
      <w:pPr>
        <w:spacing w:after="40"/>
      </w:pPr>
      <w:r>
        <w:rPr>
          <w:rFonts w:ascii="Arial" w:cs="Arial" w:eastAsia="Arial" w:hAnsi="Arial"/>
          <w:sz w:val="19"/>
          <w:szCs w:val="19"/>
        </w:rPr>
        <w:t xml:space="preserve">23. Reporting &amp; Analytics</w:t>
      </w:r>
    </w:p>
    <w:p>
      <w:pPr>
        <w:spacing w:after="40"/>
      </w:pPr>
      <w:r>
        <w:rPr>
          <w:rFonts w:ascii="Arial" w:cs="Arial" w:eastAsia="Arial" w:hAnsi="Arial"/>
          <w:sz w:val="19"/>
          <w:szCs w:val="19"/>
        </w:rPr>
        <w:t xml:space="preserve">24. MVP Scope &amp; Delivery Roadmap</w:t>
      </w:r>
    </w:p>
    <w:p>
      <w:pPr>
        <w:spacing w:after="40"/>
      </w:pPr>
      <w:r>
        <w:rPr>
          <w:rFonts w:ascii="Arial" w:cs="Arial" w:eastAsia="Arial" w:hAnsi="Arial"/>
          <w:sz w:val="19"/>
          <w:szCs w:val="19"/>
        </w:rPr>
        <w:t xml:space="preserve">25. Success Metrics / KPIs</w:t>
      </w:r>
    </w:p>
    <w:p>
      <w:pPr>
        <w:spacing w:after="40"/>
      </w:pPr>
      <w:r>
        <w:rPr>
          <w:rFonts w:ascii="Arial" w:cs="Arial" w:eastAsia="Arial" w:hAnsi="Arial"/>
          <w:sz w:val="19"/>
          <w:szCs w:val="19"/>
        </w:rPr>
        <w:t xml:space="preserve">26. Acceptance Criteria – High Level</w:t>
      </w:r>
    </w:p>
    <w:p>
      <w:pPr>
        <w:spacing w:after="40"/>
      </w:pPr>
      <w:r>
        <w:rPr>
          <w:rFonts w:ascii="Arial" w:cs="Arial" w:eastAsia="Arial" w:hAnsi="Arial"/>
          <w:sz w:val="19"/>
          <w:szCs w:val="19"/>
        </w:rPr>
        <w:t xml:space="preserve">27. Risks &amp; Mitigations</w:t>
      </w:r>
    </w:p>
    <w:p>
      <w:pPr>
        <w:spacing w:after="40"/>
      </w:pPr>
      <w:r>
        <w:rPr>
          <w:rFonts w:ascii="Arial" w:cs="Arial" w:eastAsia="Arial" w:hAnsi="Arial"/>
          <w:sz w:val="19"/>
          <w:szCs w:val="19"/>
        </w:rPr>
        <w:t xml:space="preserve">28. Research &amp; Product Validation Requirements</w:t>
      </w:r>
    </w:p>
    <w:p>
      <w:pPr>
        <w:spacing w:after="40"/>
      </w:pPr>
      <w:r>
        <w:rPr>
          <w:rFonts w:ascii="Arial" w:cs="Arial" w:eastAsia="Arial" w:hAnsi="Arial"/>
          <w:sz w:val="19"/>
          <w:szCs w:val="19"/>
        </w:rPr>
        <w:t xml:space="preserve">29. Product Design Principles</w:t>
      </w:r>
    </w:p>
    <w:p>
      <w:pPr>
        <w:spacing w:after="40"/>
      </w:pPr>
      <w:r>
        <w:rPr>
          <w:rFonts w:ascii="Arial" w:cs="Arial" w:eastAsia="Arial" w:hAnsi="Arial"/>
          <w:sz w:val="19"/>
          <w:szCs w:val="19"/>
        </w:rPr>
        <w:t xml:space="preserve">30. Developer Deliverables Expected</w:t>
      </w:r>
    </w:p>
    <w:p>
      <w:pPr>
        <w:spacing w:after="40"/>
      </w:pPr>
      <w:r>
        <w:rPr>
          <w:rFonts w:ascii="Arial" w:cs="Arial" w:eastAsia="Arial" w:hAnsi="Arial"/>
          <w:sz w:val="19"/>
          <w:szCs w:val="19"/>
        </w:rPr>
        <w:t xml:space="preserve">31. Questions Developers Must Address in Proposal</w:t>
      </w:r>
    </w:p>
    <w:p>
      <w:pPr>
        <w:spacing w:after="40"/>
      </w:pPr>
      <w:r>
        <w:rPr>
          <w:rFonts w:ascii="Arial" w:cs="Arial" w:eastAsia="Arial" w:hAnsi="Arial"/>
          <w:sz w:val="19"/>
          <w:szCs w:val="19"/>
        </w:rPr>
        <w:t xml:space="preserve">32. Out of Scope for Initial MVP</w:t>
      </w:r>
    </w:p>
    <w:p>
      <w:pPr>
        <w:spacing w:after="40"/>
      </w:pPr>
      <w:r>
        <w:rPr>
          <w:rFonts w:ascii="Arial" w:cs="Arial" w:eastAsia="Arial" w:hAnsi="Arial"/>
          <w:sz w:val="19"/>
          <w:szCs w:val="19"/>
        </w:rPr>
        <w:t xml:space="preserve">33. Regulatory &amp; Reference Considerations</w:t>
      </w:r>
    </w:p>
    <w:p>
      <w:pPr>
        <w:spacing w:after="40"/>
      </w:pPr>
      <w:r>
        <w:rPr>
          <w:rFonts w:ascii="Arial" w:cs="Arial" w:eastAsia="Arial" w:hAnsi="Arial"/>
          <w:sz w:val="19"/>
          <w:szCs w:val="19"/>
        </w:rPr>
        <w:t xml:space="preserve">34. Competitive Research – Product Implications</w:t>
      </w:r>
    </w:p>
    <w:p>
      <w:pPr>
        <w:spacing w:after="40"/>
      </w:pPr>
      <w:r>
        <w:rPr>
          <w:rFonts w:ascii="Arial" w:cs="Arial" w:eastAsia="Arial" w:hAnsi="Arial"/>
          <w:sz w:val="19"/>
          <w:szCs w:val="19"/>
        </w:rPr>
        <w:t xml:space="preserve">35. Final Product Positioning</w:t>
      </w:r>
    </w:p>
    <w:p>
      <w:pPr>
        <w:spacing w:after="40"/>
      </w:pPr>
      <w:r>
        <w:rPr>
          <w:rFonts w:ascii="Arial" w:cs="Arial" w:eastAsia="Arial" w:hAnsi="Arial"/>
          <w:sz w:val="19"/>
          <w:szCs w:val="19"/>
        </w:rPr>
        <w:t xml:space="preserve">Appendix A – Requirement Priority Definitions</w:t>
      </w:r>
    </w:p>
    <w:p>
      <w:pPr>
        <w:spacing w:after="40"/>
      </w:pPr>
      <w:r>
        <w:rPr>
          <w:rFonts w:ascii="Arial" w:cs="Arial" w:eastAsia="Arial" w:hAnsi="Arial"/>
          <w:sz w:val="19"/>
          <w:szCs w:val="19"/>
        </w:rPr>
        <w:t xml:space="preserve">Appendix B – Source Notes</w:t>
      </w:r>
    </w:p>
    <w:p>
      <w:pPr>
        <w:spacing w:after="40"/>
      </w:pPr>
      <w:r>
        <w:rPr>
          <w:rFonts w:ascii="Arial" w:cs="Arial" w:eastAsia="Arial" w:hAnsi="Arial"/>
          <w:sz w:val="19"/>
          <w:szCs w:val="19"/>
        </w:rPr>
        <w:t xml:space="preserve">Appendix C – Open Items</w:t>
      </w:r>
    </w:p>
    <w:p>
      <w:r>
        <w:br w:type="page"/>
      </w:r>
    </w:p>
    <w:p>
      <w:pPr>
        <w:pStyle w:val="Heading1"/>
        <w:spacing w:after="140" w:before="320"/>
      </w:pPr>
      <w:r>
        <w:rPr>
          <w:rFonts w:ascii="Arial" w:cs="Arial" w:eastAsia="Arial" w:hAnsi="Arial"/>
          <w:b/>
          <w:bCs/>
          <w:color w:val="1B3A5C"/>
          <w:sz w:val="30"/>
          <w:szCs w:val="30"/>
        </w:rPr>
        <w:t xml:space="preserve">1. Executive Summary</w:t>
      </w:r>
    </w:p>
    <w:p>
      <w:pPr>
        <w:spacing w:after="120" w:line="276"/>
      </w:pPr>
      <w:r>
        <w:rPr>
          <w:rFonts w:ascii="Arial" w:cs="Arial" w:eastAsia="Arial" w:hAnsi="Arial"/>
          <w:sz w:val="20"/>
          <w:szCs w:val="20"/>
        </w:rPr>
        <w:t xml:space="preserve">The proposed product is a modern, mobile-first childcare management and family experience platform for the Australian early childhood education and care market. It will connect parents, educators and centre management through a single ecosystem covering daily care, learning documentation, communication, attendance, enrolment, incidents, medication, billing, staffing and operational reporting.</w:t>
      </w:r>
    </w:p>
    <w:p>
      <w:pPr>
        <w:spacing w:after="120" w:line="276"/>
      </w:pPr>
      <w:r>
        <w:rPr>
          <w:rFonts w:ascii="Arial" w:cs="Arial" w:eastAsia="Arial" w:hAnsi="Arial"/>
          <w:sz w:val="20"/>
          <w:szCs w:val="20"/>
        </w:rPr>
        <w:t xml:space="preserve">The product is designed around three outcomes: reduce administrative workload for educators; give parents a simple and trustworthy view of their child’s day; and give centres reliable operational and compliance visibility.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Product principle: technology should support better care, not distract educators from children.</w:t>
            </w:r>
          </w:p>
        </w:tc>
      </w:tr>
    </w:tbl>
    <w:p>
      <w:pPr>
        <w:spacing w:after="60"/>
      </w:pPr>
    </w:p>
    <w:p>
      <w:pPr>
        <w:pStyle w:val="Heading1"/>
        <w:spacing w:after="140" w:before="320"/>
      </w:pPr>
      <w:r>
        <w:rPr>
          <w:rFonts w:ascii="Arial" w:cs="Arial" w:eastAsia="Arial" w:hAnsi="Arial"/>
          <w:b/>
          <w:bCs/>
          <w:color w:val="1B3A5C"/>
          <w:sz w:val="30"/>
          <w:szCs w:val="30"/>
        </w:rPr>
        <w:t xml:space="preserve">2. Product Vision &amp; Objectives</w:t>
      </w:r>
    </w:p>
    <w:p>
      <w:pPr>
        <w:spacing w:after="120" w:line="276"/>
      </w:pPr>
      <w:r>
        <w:rPr>
          <w:rFonts w:ascii="Arial" w:cs="Arial" w:eastAsia="Arial" w:hAnsi="Arial"/>
          <w:b/>
          <w:bCs/>
          <w:sz w:val="20"/>
          <w:szCs w:val="20"/>
        </w:rPr>
        <w:t xml:space="preserve">Vision: </w:t>
      </w:r>
      <w:r>
        <w:rPr>
          <w:rFonts w:ascii="Arial" w:cs="Arial" w:eastAsia="Arial" w:hAnsi="Arial"/>
          <w:sz w:val="20"/>
          <w:szCs w:val="20"/>
        </w:rPr>
        <w:t xml:space="preserve">Create a trusted childcare technology platform that helps educators spend more time with children, helps parents feel connected and informed, and helps centres operate safely, efficiently and transparently.</w:t>
      </w:r>
    </w:p>
    <w:p>
      <w:pPr>
        <w:pStyle w:val="ListParagraph"/>
        <w:numPr>
          <w:ilvl w:val="0"/>
          <w:numId w:val="2"/>
        </w:numPr>
        <w:spacing w:after="60" w:line="264"/>
      </w:pPr>
      <w:r>
        <w:rPr>
          <w:rFonts w:ascii="Arial" w:cs="Arial" w:eastAsia="Arial" w:hAnsi="Arial"/>
          <w:sz w:val="20"/>
          <w:szCs w:val="20"/>
        </w:rPr>
        <w:t xml:space="preserve">Provide a simple, fast and reliable experience across parent, educator and centre workflows.</w:t>
      </w:r>
    </w:p>
    <w:p>
      <w:pPr>
        <w:pStyle w:val="ListParagraph"/>
        <w:numPr>
          <w:ilvl w:val="0"/>
          <w:numId w:val="2"/>
        </w:numPr>
        <w:spacing w:after="60" w:line="264"/>
      </w:pPr>
      <w:r>
        <w:rPr>
          <w:rFonts w:ascii="Arial" w:cs="Arial" w:eastAsia="Arial" w:hAnsi="Arial"/>
          <w:sz w:val="20"/>
          <w:szCs w:val="20"/>
        </w:rPr>
        <w:t xml:space="preserve">Reduce repetitive educator documentation through quick capture, group actions and intelligent assistance.</w:t>
      </w:r>
    </w:p>
    <w:p>
      <w:pPr>
        <w:pStyle w:val="ListParagraph"/>
        <w:numPr>
          <w:ilvl w:val="0"/>
          <w:numId w:val="2"/>
        </w:numPr>
        <w:spacing w:after="60" w:line="264"/>
      </w:pPr>
      <w:r>
        <w:rPr>
          <w:rFonts w:ascii="Arial" w:cs="Arial" w:eastAsia="Arial" w:hAnsi="Arial"/>
          <w:sz w:val="20"/>
          <w:szCs w:val="20"/>
        </w:rPr>
        <w:t xml:space="preserve">Make important parent information easy to find and distinguish urgent actions from routine updates.</w:t>
      </w:r>
    </w:p>
    <w:p>
      <w:pPr>
        <w:pStyle w:val="ListParagraph"/>
        <w:numPr>
          <w:ilvl w:val="0"/>
          <w:numId w:val="2"/>
        </w:numPr>
        <w:spacing w:after="60" w:line="264"/>
      </w:pPr>
      <w:r>
        <w:rPr>
          <w:rFonts w:ascii="Arial" w:cs="Arial" w:eastAsia="Arial" w:hAnsi="Arial"/>
          <w:sz w:val="20"/>
          <w:szCs w:val="20"/>
        </w:rPr>
        <w:t xml:space="preserve">Provide transparent, understandable billing and CCS-related information.</w:t>
      </w:r>
    </w:p>
    <w:p>
      <w:pPr>
        <w:pStyle w:val="ListParagraph"/>
        <w:numPr>
          <w:ilvl w:val="0"/>
          <w:numId w:val="2"/>
        </w:numPr>
        <w:spacing w:after="60" w:line="264"/>
      </w:pPr>
      <w:r>
        <w:rPr>
          <w:rFonts w:ascii="Arial" w:cs="Arial" w:eastAsia="Arial" w:hAnsi="Arial"/>
          <w:sz w:val="20"/>
          <w:szCs w:val="20"/>
        </w:rPr>
        <w:t xml:space="preserve">Create a strong privacy and child-safety architecture suitable for sensitive children’s information and media.</w:t>
      </w:r>
    </w:p>
    <w:p>
      <w:pPr>
        <w:pStyle w:val="ListParagraph"/>
        <w:numPr>
          <w:ilvl w:val="0"/>
          <w:numId w:val="2"/>
        </w:numPr>
        <w:spacing w:after="60" w:line="264"/>
      </w:pPr>
      <w:r>
        <w:rPr>
          <w:rFonts w:ascii="Arial" w:cs="Arial" w:eastAsia="Arial" w:hAnsi="Arial"/>
          <w:sz w:val="20"/>
          <w:szCs w:val="20"/>
        </w:rPr>
        <w:t xml:space="preserve">Support Australian early learning frameworks and relevant regulatory/compliance workflows.</w:t>
      </w:r>
    </w:p>
    <w:p>
      <w:pPr>
        <w:pStyle w:val="ListParagraph"/>
        <w:numPr>
          <w:ilvl w:val="0"/>
          <w:numId w:val="2"/>
        </w:numPr>
        <w:spacing w:after="60" w:line="264"/>
      </w:pPr>
      <w:r>
        <w:rPr>
          <w:rFonts w:ascii="Arial" w:cs="Arial" w:eastAsia="Arial" w:hAnsi="Arial"/>
          <w:sz w:val="20"/>
          <w:szCs w:val="20"/>
        </w:rPr>
        <w:t xml:space="preserve">Provide an extensible architecture capable of supporting single centres and multi-site operators.</w:t>
      </w:r>
    </w:p>
    <w:p>
      <w:pPr>
        <w:pStyle w:val="Heading1"/>
        <w:spacing w:after="140" w:before="320"/>
      </w:pPr>
      <w:r>
        <w:rPr>
          <w:rFonts w:ascii="Arial" w:cs="Arial" w:eastAsia="Arial" w:hAnsi="Arial"/>
          <w:b/>
          <w:bCs/>
          <w:color w:val="1B3A5C"/>
          <w:sz w:val="30"/>
          <w:szCs w:val="30"/>
        </w:rPr>
        <w:t xml:space="preserve">3. Target Users &amp;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Persona</w:t>
            </w:r>
          </w:p>
        </w:tc>
        <w:tc>
          <w:tcPr>
            <w:tcW w:type="dxa" w:w="424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Primary Needs</w:t>
            </w:r>
          </w:p>
        </w:tc>
        <w:tc>
          <w:tcPr>
            <w:tcW w:type="dxa" w:w="3084"/>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Key Product Outcomes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 Guardian</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updates, communication, attendance, forms, billing transparency</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Confidence, low-friction actions</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w:t>
            </w:r>
          </w:p>
        </w:tc>
        <w:tc>
          <w:tcPr>
            <w:tcW w:type="dxa" w:w="424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Fast care records, observations, photos, learning documentation</w:t>
            </w:r>
          </w:p>
        </w:tc>
        <w:tc>
          <w:tcPr>
            <w:tcW w:type="dxa" w:w="308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Less screen/admin time, accurate records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Director / Owner</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Operations, staffing, ratios, occupancy, compliance, reporting</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Real-time visibility and control</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Administrator</w:t>
            </w:r>
          </w:p>
        </w:tc>
        <w:tc>
          <w:tcPr>
            <w:tcW w:type="dxa" w:w="424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Enrolments, family records, billing, documents</w:t>
            </w:r>
          </w:p>
        </w:tc>
        <w:tc>
          <w:tcPr>
            <w:tcW w:type="dxa" w:w="308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Efficient workflows and fewer errors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Area / Enterprise Manager</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Multi-centre oversight and analytics</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Consistent governance and reporting</w:t>
            </w:r>
          </w:p>
        </w:tc>
      </w:tr>
    </w:tbl>
    <w:p>
      <w:pPr>
        <w:spacing w:after="80"/>
      </w:pPr>
    </w:p>
    <w:p>
      <w:pPr>
        <w:pStyle w:val="Heading1"/>
        <w:spacing w:after="140" w:before="320"/>
      </w:pPr>
      <w:r>
        <w:rPr>
          <w:rFonts w:ascii="Arial" w:cs="Arial" w:eastAsia="Arial" w:hAnsi="Arial"/>
          <w:b/>
          <w:bCs/>
          <w:color w:val="1B3A5C"/>
          <w:sz w:val="30"/>
          <w:szCs w:val="30"/>
        </w:rPr>
        <w:t xml:space="preserve">4. Business Problems to Solve</w:t>
      </w:r>
    </w:p>
    <w:p>
      <w:pPr>
        <w:pStyle w:val="ListParagraph"/>
        <w:numPr>
          <w:ilvl w:val="0"/>
          <w:numId w:val="2"/>
        </w:numPr>
        <w:spacing w:after="60" w:line="264"/>
      </w:pPr>
      <w:r>
        <w:rPr>
          <w:rFonts w:ascii="Arial" w:cs="Arial" w:eastAsia="Arial" w:hAnsi="Arial"/>
          <w:sz w:val="20"/>
          <w:szCs w:val="20"/>
        </w:rPr>
        <w:t xml:space="preserve">Parent information overload: important messages, actions and child updates can become mixed together.</w:t>
      </w:r>
    </w:p>
    <w:p>
      <w:pPr>
        <w:pStyle w:val="ListParagraph"/>
        <w:numPr>
          <w:ilvl w:val="0"/>
          <w:numId w:val="2"/>
        </w:numPr>
        <w:spacing w:after="60" w:line="264"/>
      </w:pPr>
      <w:r>
        <w:rPr>
          <w:rFonts w:ascii="Arial" w:cs="Arial" w:eastAsia="Arial" w:hAnsi="Arial"/>
          <w:sz w:val="20"/>
          <w:szCs w:val="20"/>
        </w:rPr>
        <w:t xml:space="preserve">Notification fatigue: parents may receive too many low-priority notifications and miss important information.</w:t>
      </w:r>
    </w:p>
    <w:p>
      <w:pPr>
        <w:pStyle w:val="ListParagraph"/>
        <w:numPr>
          <w:ilvl w:val="0"/>
          <w:numId w:val="2"/>
        </w:numPr>
        <w:spacing w:after="60" w:line="264"/>
      </w:pPr>
      <w:r>
        <w:rPr>
          <w:rFonts w:ascii="Arial" w:cs="Arial" w:eastAsia="Arial" w:hAnsi="Arial"/>
          <w:sz w:val="20"/>
          <w:szCs w:val="20"/>
        </w:rPr>
        <w:t xml:space="preserve">Educator administration: routine care and learning records can consume time better spent with children.</w:t>
      </w:r>
    </w:p>
    <w:p>
      <w:pPr>
        <w:pStyle w:val="ListParagraph"/>
        <w:numPr>
          <w:ilvl w:val="0"/>
          <w:numId w:val="2"/>
        </w:numPr>
        <w:spacing w:after="60" w:line="264"/>
      </w:pPr>
      <w:r>
        <w:rPr>
          <w:rFonts w:ascii="Arial" w:cs="Arial" w:eastAsia="Arial" w:hAnsi="Arial"/>
          <w:sz w:val="20"/>
          <w:szCs w:val="20"/>
        </w:rPr>
        <w:t xml:space="preserve">Duplicated data entry: attendance, care records and learning documentation can require repetitive entry.</w:t>
      </w:r>
    </w:p>
    <w:p>
      <w:pPr>
        <w:pStyle w:val="ListParagraph"/>
        <w:numPr>
          <w:ilvl w:val="0"/>
          <w:numId w:val="2"/>
        </w:numPr>
        <w:spacing w:after="60" w:line="264"/>
      </w:pPr>
      <w:r>
        <w:rPr>
          <w:rFonts w:ascii="Arial" w:cs="Arial" w:eastAsia="Arial" w:hAnsi="Arial"/>
          <w:sz w:val="20"/>
          <w:szCs w:val="20"/>
        </w:rPr>
        <w:t xml:space="preserve">Billing complexity: families can struggle to understand fees, subsidy information and gap payments.</w:t>
      </w:r>
    </w:p>
    <w:p>
      <w:pPr>
        <w:pStyle w:val="ListParagraph"/>
        <w:numPr>
          <w:ilvl w:val="0"/>
          <w:numId w:val="2"/>
        </w:numPr>
        <w:spacing w:after="60" w:line="264"/>
      </w:pPr>
      <w:r>
        <w:rPr>
          <w:rFonts w:ascii="Arial" w:cs="Arial" w:eastAsia="Arial" w:hAnsi="Arial"/>
          <w:sz w:val="20"/>
          <w:szCs w:val="20"/>
        </w:rPr>
        <w:t xml:space="preserve">Operational fragmentation: centres may rely on multiple disconnected workflows or systems.</w:t>
      </w:r>
    </w:p>
    <w:p>
      <w:pPr>
        <w:pStyle w:val="ListParagraph"/>
        <w:numPr>
          <w:ilvl w:val="0"/>
          <w:numId w:val="2"/>
        </w:numPr>
        <w:spacing w:after="60" w:line="264"/>
      </w:pPr>
      <w:r>
        <w:rPr>
          <w:rFonts w:ascii="Arial" w:cs="Arial" w:eastAsia="Arial" w:hAnsi="Arial"/>
          <w:sz w:val="20"/>
          <w:szCs w:val="20"/>
        </w:rPr>
        <w:t xml:space="preserve">Reliability and support: authentication, sync, media and notification failures create operational friction.</w:t>
      </w:r>
    </w:p>
    <w:p>
      <w:pPr>
        <w:pStyle w:val="ListParagraph"/>
        <w:numPr>
          <w:ilvl w:val="0"/>
          <w:numId w:val="2"/>
        </w:numPr>
        <w:spacing w:after="60" w:line="264"/>
      </w:pPr>
      <w:r>
        <w:rPr>
          <w:rFonts w:ascii="Arial" w:cs="Arial" w:eastAsia="Arial" w:hAnsi="Arial"/>
          <w:sz w:val="20"/>
          <w:szCs w:val="20"/>
        </w:rPr>
        <w:t xml:space="preserve">Privacy and child safety: children’s personal information, photographs and videos require strong access controls and governance.</w:t>
      </w:r>
    </w:p>
    <w:p>
      <w:pPr>
        <w:pStyle w:val="Heading1"/>
        <w:spacing w:after="140" w:before="320"/>
      </w:pPr>
      <w:r>
        <w:rPr>
          <w:rFonts w:ascii="Arial" w:cs="Arial" w:eastAsia="Arial" w:hAnsi="Arial"/>
          <w:b/>
          <w:bCs/>
          <w:color w:val="1B3A5C"/>
          <w:sz w:val="30"/>
          <w:szCs w:val="30"/>
        </w:rPr>
        <w:t xml:space="preserve">5. Product Scope</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Phase shown against each item; billing, payments and CCS integration are now Phase 1; ratios and rostering added.</w:t>
      </w:r>
    </w:p>
    <w:p>
      <w:pPr>
        <w:spacing w:after="120" w:line="276"/>
      </w:pPr>
      <w:r>
        <w:rPr>
          <w:rFonts w:ascii="Arial" w:cs="Arial" w:eastAsia="Arial" w:hAnsi="Arial"/>
          <w:b/>
          <w:bCs/>
          <w:sz w:val="20"/>
          <w:szCs w:val="20"/>
        </w:rPr>
        <w:t xml:space="preserve">In Scope – product ecosystem (phase in brackets; see §24)</w:t>
      </w:r>
    </w:p>
    <w:p>
      <w:pPr>
        <w:pStyle w:val="ListParagraph"/>
        <w:numPr>
          <w:ilvl w:val="0"/>
          <w:numId w:val="2"/>
        </w:numPr>
        <w:spacing w:after="60" w:line="264"/>
      </w:pPr>
      <w:r>
        <w:rPr>
          <w:rFonts w:ascii="Arial" w:cs="Arial" w:eastAsia="Arial" w:hAnsi="Arial"/>
          <w:sz w:val="20"/>
          <w:szCs w:val="20"/>
        </w:rPr>
        <w:t xml:space="preserve">Parent iOS/Android mobile application. [P1]</w:t>
      </w:r>
    </w:p>
    <w:p>
      <w:pPr>
        <w:pStyle w:val="ListParagraph"/>
        <w:numPr>
          <w:ilvl w:val="0"/>
          <w:numId w:val="2"/>
        </w:numPr>
        <w:spacing w:after="60" w:line="264"/>
      </w:pPr>
      <w:r>
        <w:rPr>
          <w:rFonts w:ascii="Arial" w:cs="Arial" w:eastAsia="Arial" w:hAnsi="Arial"/>
          <w:sz w:val="20"/>
          <w:szCs w:val="20"/>
        </w:rPr>
        <w:t xml:space="preserve">Educator iOS/Android mobile and tablet application. [P1]</w:t>
      </w:r>
    </w:p>
    <w:p>
      <w:pPr>
        <w:pStyle w:val="ListParagraph"/>
        <w:numPr>
          <w:ilvl w:val="0"/>
          <w:numId w:val="2"/>
        </w:numPr>
        <w:spacing w:after="60" w:line="264"/>
      </w:pPr>
      <w:r>
        <w:rPr>
          <w:rFonts w:ascii="Arial" w:cs="Arial" w:eastAsia="Arial" w:hAnsi="Arial"/>
          <w:sz w:val="20"/>
          <w:szCs w:val="20"/>
        </w:rPr>
        <w:t xml:space="preserve">Responsive centre administration web portal. [P1]</w:t>
      </w:r>
    </w:p>
    <w:p>
      <w:pPr>
        <w:pStyle w:val="ListParagraph"/>
        <w:numPr>
          <w:ilvl w:val="0"/>
          <w:numId w:val="2"/>
        </w:numPr>
        <w:spacing w:after="60" w:line="264"/>
      </w:pPr>
      <w:r>
        <w:rPr>
          <w:rFonts w:ascii="Arial" w:cs="Arial" w:eastAsia="Arial" w:hAnsi="Arial"/>
          <w:sz w:val="20"/>
          <w:szCs w:val="20"/>
        </w:rPr>
        <w:t xml:space="preserve">Secure backend services, APIs, database and audit services, hosted in Australia. [P1]</w:t>
      </w:r>
    </w:p>
    <w:p>
      <w:pPr>
        <w:pStyle w:val="ListParagraph"/>
        <w:numPr>
          <w:ilvl w:val="0"/>
          <w:numId w:val="2"/>
        </w:numPr>
        <w:spacing w:after="60" w:line="264"/>
      </w:pPr>
      <w:r>
        <w:rPr>
          <w:rFonts w:ascii="Arial" w:cs="Arial" w:eastAsia="Arial" w:hAnsi="Arial"/>
          <w:sz w:val="20"/>
          <w:szCs w:val="20"/>
        </w:rPr>
        <w:t xml:space="preserve">Identity, authentication and role-based access control. [P1]</w:t>
      </w:r>
    </w:p>
    <w:p>
      <w:pPr>
        <w:pStyle w:val="ListParagraph"/>
        <w:numPr>
          <w:ilvl w:val="0"/>
          <w:numId w:val="2"/>
        </w:numPr>
        <w:spacing w:after="60" w:line="264"/>
      </w:pPr>
      <w:r>
        <w:rPr>
          <w:rFonts w:ascii="Arial" w:cs="Arial" w:eastAsia="Arial" w:hAnsi="Arial"/>
          <w:sz w:val="20"/>
          <w:szCs w:val="20"/>
        </w:rPr>
        <w:t xml:space="preserve">Child, family, room and centre management. [P1]</w:t>
      </w:r>
    </w:p>
    <w:p>
      <w:pPr>
        <w:pStyle w:val="ListParagraph"/>
        <w:numPr>
          <w:ilvl w:val="0"/>
          <w:numId w:val="2"/>
        </w:numPr>
        <w:spacing w:after="60" w:line="264"/>
      </w:pPr>
      <w:r>
        <w:rPr>
          <w:rFonts w:ascii="Arial" w:cs="Arial" w:eastAsia="Arial" w:hAnsi="Arial"/>
          <w:sz w:val="20"/>
          <w:szCs w:val="20"/>
        </w:rPr>
        <w:t xml:space="preserve">Attendance and sign-in/sign-out. [P1]</w:t>
      </w:r>
    </w:p>
    <w:p>
      <w:pPr>
        <w:pStyle w:val="ListParagraph"/>
        <w:numPr>
          <w:ilvl w:val="0"/>
          <w:numId w:val="2"/>
        </w:numPr>
        <w:spacing w:after="60" w:line="264"/>
      </w:pPr>
      <w:r>
        <w:rPr>
          <w:rFonts w:ascii="Arial" w:cs="Arial" w:eastAsia="Arial" w:hAnsi="Arial"/>
          <w:sz w:val="20"/>
          <w:szCs w:val="20"/>
        </w:rPr>
        <w:t xml:space="preserve">Daily care records: meals, sleep, toileting, bottles and activities. [P1]</w:t>
      </w:r>
    </w:p>
    <w:p>
      <w:pPr>
        <w:pStyle w:val="ListParagraph"/>
        <w:numPr>
          <w:ilvl w:val="0"/>
          <w:numId w:val="2"/>
        </w:numPr>
        <w:spacing w:after="60" w:line="264"/>
      </w:pPr>
      <w:r>
        <w:rPr>
          <w:rFonts w:ascii="Arial" w:cs="Arial" w:eastAsia="Arial" w:hAnsi="Arial"/>
          <w:sz w:val="20"/>
          <w:szCs w:val="20"/>
        </w:rPr>
        <w:t xml:space="preserve">Photos/media and family communication. [P1]</w:t>
      </w:r>
    </w:p>
    <w:p>
      <w:pPr>
        <w:pStyle w:val="ListParagraph"/>
        <w:numPr>
          <w:ilvl w:val="0"/>
          <w:numId w:val="2"/>
        </w:numPr>
        <w:spacing w:after="60" w:line="264"/>
      </w:pPr>
      <w:r>
        <w:rPr>
          <w:rFonts w:ascii="Arial" w:cs="Arial" w:eastAsia="Arial" w:hAnsi="Arial"/>
          <w:sz w:val="20"/>
          <w:szCs w:val="20"/>
        </w:rPr>
        <w:t xml:space="preserve">Messaging and notification management. [P1]</w:t>
      </w:r>
    </w:p>
    <w:p>
      <w:pPr>
        <w:pStyle w:val="ListParagraph"/>
        <w:numPr>
          <w:ilvl w:val="0"/>
          <w:numId w:val="2"/>
        </w:numPr>
        <w:spacing w:after="60" w:line="264"/>
      </w:pPr>
      <w:r>
        <w:rPr>
          <w:rFonts w:ascii="Arial" w:cs="Arial" w:eastAsia="Arial" w:hAnsi="Arial"/>
          <w:sz w:val="20"/>
          <w:szCs w:val="20"/>
        </w:rPr>
        <w:t xml:space="preserve">Medication and incident workflows. [P1]</w:t>
      </w:r>
    </w:p>
    <w:p>
      <w:pPr>
        <w:pStyle w:val="ListParagraph"/>
        <w:numPr>
          <w:ilvl w:val="0"/>
          <w:numId w:val="2"/>
        </w:numPr>
        <w:spacing w:after="60" w:line="264"/>
      </w:pPr>
      <w:r>
        <w:rPr>
          <w:rFonts w:ascii="Arial" w:cs="Arial" w:eastAsia="Arial" w:hAnsi="Arial"/>
          <w:sz w:val="20"/>
          <w:szCs w:val="20"/>
        </w:rPr>
        <w:t xml:space="preserve">Digital forms and parent document upload. [P1]</w:t>
      </w:r>
    </w:p>
    <w:p>
      <w:pPr>
        <w:pStyle w:val="ListParagraph"/>
        <w:numPr>
          <w:ilvl w:val="0"/>
          <w:numId w:val="2"/>
        </w:numPr>
        <w:spacing w:after="60" w:line="264"/>
      </w:pPr>
      <w:r>
        <w:rPr>
          <w:rFonts w:ascii="Arial" w:cs="Arial" w:eastAsia="Arial" w:hAnsi="Arial"/>
          <w:sz w:val="20"/>
          <w:szCs w:val="20"/>
        </w:rPr>
        <w:t xml:space="preserve">Billing and payment capabilities (full billing – see §15). [P1]</w:t>
      </w:r>
    </w:p>
    <w:p>
      <w:pPr>
        <w:pStyle w:val="ListParagraph"/>
        <w:numPr>
          <w:ilvl w:val="0"/>
          <w:numId w:val="2"/>
        </w:numPr>
        <w:spacing w:after="60" w:line="264"/>
      </w:pPr>
      <w:r>
        <w:rPr>
          <w:rFonts w:ascii="Arial" w:cs="Arial" w:eastAsia="Arial" w:hAnsi="Arial"/>
          <w:sz w:val="20"/>
          <w:szCs w:val="20"/>
        </w:rPr>
        <w:t xml:space="preserve">CCS integration and compliance workflows. [P1]</w:t>
      </w:r>
    </w:p>
    <w:p>
      <w:pPr>
        <w:pStyle w:val="ListParagraph"/>
        <w:numPr>
          <w:ilvl w:val="0"/>
          <w:numId w:val="2"/>
        </w:numPr>
        <w:spacing w:after="60" w:line="264"/>
      </w:pPr>
      <w:r>
        <w:rPr>
          <w:rFonts w:ascii="Arial" w:cs="Arial" w:eastAsia="Arial" w:hAnsi="Arial"/>
          <w:sz w:val="20"/>
          <w:szCs w:val="20"/>
        </w:rPr>
        <w:t xml:space="preserve">Operational reporting and dashboards. [P1 core; advanced P2]</w:t>
      </w:r>
    </w:p>
    <w:p>
      <w:pPr>
        <w:pStyle w:val="ListParagraph"/>
        <w:numPr>
          <w:ilvl w:val="0"/>
          <w:numId w:val="2"/>
        </w:numPr>
        <w:spacing w:after="60" w:line="264"/>
      </w:pPr>
      <w:r>
        <w:rPr>
          <w:rFonts w:ascii="Arial" w:cs="Arial" w:eastAsia="Arial" w:hAnsi="Arial"/>
          <w:sz w:val="20"/>
          <w:szCs w:val="20"/>
        </w:rPr>
        <w:t xml:space="preserve">Offline-first educator workflows. [P1]</w:t>
      </w:r>
    </w:p>
    <w:p>
      <w:pPr>
        <w:pStyle w:val="ListParagraph"/>
        <w:numPr>
          <w:ilvl w:val="0"/>
          <w:numId w:val="2"/>
        </w:numPr>
        <w:spacing w:after="60" w:line="264"/>
      </w:pPr>
      <w:r>
        <w:rPr>
          <w:rFonts w:ascii="Arial" w:cs="Arial" w:eastAsia="Arial" w:hAnsi="Arial"/>
          <w:sz w:val="20"/>
          <w:szCs w:val="20"/>
        </w:rPr>
        <w:t xml:space="preserve">Learning observations and EYLF/MTOP-aligned documentation. [P2]</w:t>
      </w:r>
    </w:p>
    <w:p>
      <w:pPr>
        <w:pStyle w:val="ListParagraph"/>
        <w:numPr>
          <w:ilvl w:val="0"/>
          <w:numId w:val="2"/>
        </w:numPr>
        <w:spacing w:after="60" w:line="264"/>
      </w:pPr>
      <w:r>
        <w:rPr>
          <w:rFonts w:ascii="Arial" w:cs="Arial" w:eastAsia="Arial" w:hAnsi="Arial"/>
          <w:sz w:val="20"/>
          <w:szCs w:val="20"/>
        </w:rPr>
        <w:t xml:space="preserve">Enrolment, waitlist and document management. [P2]</w:t>
      </w:r>
    </w:p>
    <w:p>
      <w:pPr>
        <w:pStyle w:val="ListParagraph"/>
        <w:numPr>
          <w:ilvl w:val="0"/>
          <w:numId w:val="2"/>
        </w:numPr>
        <w:spacing w:after="60" w:line="264"/>
      </w:pPr>
      <w:r>
        <w:rPr>
          <w:rFonts w:ascii="Arial" w:cs="Arial" w:eastAsia="Arial" w:hAnsi="Arial"/>
          <w:sz w:val="20"/>
          <w:szCs w:val="20"/>
        </w:rPr>
        <w:t xml:space="preserve">Educator-to-child ratio compliance and rostering (see §13A). [P2]</w:t>
      </w:r>
    </w:p>
    <w:p>
      <w:pPr>
        <w:pStyle w:val="ListParagraph"/>
        <w:numPr>
          <w:ilvl w:val="0"/>
          <w:numId w:val="2"/>
        </w:numPr>
        <w:spacing w:after="60" w:line="264"/>
      </w:pPr>
      <w:r>
        <w:rPr>
          <w:rFonts w:ascii="Arial" w:cs="Arial" w:eastAsia="Arial" w:hAnsi="Arial"/>
          <w:sz w:val="20"/>
          <w:szCs w:val="20"/>
        </w:rPr>
        <w:t xml:space="preserve">Staff profiles, qualifications and compliance monitoring. [P2]</w:t>
      </w:r>
    </w:p>
    <w:p>
      <w:pPr>
        <w:spacing w:after="120" w:line="276"/>
      </w:pPr>
      <w:r>
        <w:rPr>
          <w:rFonts w:ascii="Arial" w:cs="Arial" w:eastAsia="Arial" w:hAnsi="Arial"/>
          <w:sz w:val="20"/>
          <w:szCs w:val="20"/>
        </w:rPr>
        <w:t xml:space="preserve">Potential future scope: advanced AI assistant, predictive analytics, workforce optimisation, advanced multilingual capabilities and enterprise features.</w:t>
      </w:r>
    </w:p>
    <w:p>
      <w:pPr>
        <w:pStyle w:val="Heading1"/>
        <w:spacing w:after="140" w:before="320"/>
      </w:pPr>
      <w:r>
        <w:rPr>
          <w:rFonts w:ascii="Arial" w:cs="Arial" w:eastAsia="Arial" w:hAnsi="Arial"/>
          <w:b/>
          <w:bCs/>
          <w:color w:val="1B3A5C"/>
          <w:sz w:val="30"/>
          <w:szCs w:val="30"/>
        </w:rPr>
        <w:t xml:space="preserve">6. Core User Experience Requirements</w:t>
      </w:r>
    </w:p>
    <w:p>
      <w:pPr>
        <w:pStyle w:val="Heading2"/>
        <w:spacing w:after="100" w:before="220"/>
      </w:pPr>
      <w:r>
        <w:rPr>
          <w:rFonts w:ascii="Arial" w:cs="Arial" w:eastAsia="Arial" w:hAnsi="Arial"/>
          <w:b/>
          <w:bCs/>
          <w:color w:val="1B3A5C"/>
          <w:sz w:val="24"/>
          <w:szCs w:val="24"/>
        </w:rPr>
        <w:t xml:space="preserve">6.1 Parent – Child at a Glance</w:t>
      </w:r>
    </w:p>
    <w:p>
      <w:pPr>
        <w:spacing w:after="120" w:line="276"/>
      </w:pPr>
      <w:r>
        <w:rPr>
          <w:rFonts w:ascii="Arial" w:cs="Arial" w:eastAsia="Arial" w:hAnsi="Arial"/>
          <w:sz w:val="20"/>
          <w:szCs w:val="20"/>
        </w:rPr>
        <w:t xml:space="preserve">The parent home screen should provide a consolidated view of the child’s current day without requiring navigation through multiple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Information</w:t>
            </w:r>
          </w:p>
        </w:tc>
        <w:tc>
          <w:tcPr>
            <w:tcW w:type="dxa" w:w="674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Example</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Attendance</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Checked in – 8:07 AM</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Meals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Breakfast ✓ Lunch ✓</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Sleep</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12:35 PM – 2:05 PM</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Activities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Creative play, outdoor play</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observation available</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Media</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 new photos</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Communication</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centre message</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Actions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Medication authorisation required</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Account</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Balance $84.20 – due Friday</w:t>
            </w:r>
          </w:p>
        </w:tc>
      </w:tr>
    </w:tbl>
    <w:p>
      <w:pPr>
        <w:spacing w:after="80"/>
      </w:pPr>
    </w:p>
    <w:p>
      <w:pPr>
        <w:pStyle w:val="Heading2"/>
        <w:spacing w:after="100" w:before="220"/>
      </w:pPr>
      <w:r>
        <w:rPr>
          <w:rFonts w:ascii="Arial" w:cs="Arial" w:eastAsia="Arial" w:hAnsi="Arial"/>
          <w:b/>
          <w:bCs/>
          <w:color w:val="1B3A5C"/>
          <w:sz w:val="24"/>
          <w:szCs w:val="24"/>
        </w:rPr>
        <w:t xml:space="preserve">6.2 Intelligent Parent Inbox</w:t>
      </w:r>
    </w:p>
    <w:p>
      <w:pPr>
        <w:pStyle w:val="ListParagraph"/>
        <w:numPr>
          <w:ilvl w:val="0"/>
          <w:numId w:val="2"/>
        </w:numPr>
        <w:spacing w:after="60" w:line="264"/>
      </w:pPr>
      <w:r>
        <w:rPr>
          <w:rFonts w:ascii="Arial" w:cs="Arial" w:eastAsia="Arial" w:hAnsi="Arial"/>
          <w:sz w:val="20"/>
          <w:szCs w:val="20"/>
        </w:rPr>
        <w:t xml:space="preserve">Urgent: incidents, medication, emergency notices, centre closure.</w:t>
      </w:r>
    </w:p>
    <w:p>
      <w:pPr>
        <w:pStyle w:val="ListParagraph"/>
        <w:numPr>
          <w:ilvl w:val="0"/>
          <w:numId w:val="2"/>
        </w:numPr>
        <w:spacing w:after="60" w:line="264"/>
      </w:pPr>
      <w:r>
        <w:rPr>
          <w:rFonts w:ascii="Arial" w:cs="Arial" w:eastAsia="Arial" w:hAnsi="Arial"/>
          <w:sz w:val="20"/>
          <w:szCs w:val="20"/>
        </w:rPr>
        <w:t xml:space="preserve">Action Required: forms, approvals, payments, document updates.</w:t>
      </w:r>
    </w:p>
    <w:p>
      <w:pPr>
        <w:pStyle w:val="ListParagraph"/>
        <w:numPr>
          <w:ilvl w:val="0"/>
          <w:numId w:val="2"/>
        </w:numPr>
        <w:spacing w:after="60" w:line="264"/>
      </w:pPr>
      <w:r>
        <w:rPr>
          <w:rFonts w:ascii="Arial" w:cs="Arial" w:eastAsia="Arial" w:hAnsi="Arial"/>
          <w:sz w:val="20"/>
          <w:szCs w:val="20"/>
        </w:rPr>
        <w:t xml:space="preserve">Child Update: meals, sleep, photos, learning updates.</w:t>
      </w:r>
    </w:p>
    <w:p>
      <w:pPr>
        <w:pStyle w:val="ListParagraph"/>
        <w:numPr>
          <w:ilvl w:val="0"/>
          <w:numId w:val="2"/>
        </w:numPr>
        <w:spacing w:after="60" w:line="264"/>
      </w:pPr>
      <w:r>
        <w:rPr>
          <w:rFonts w:ascii="Arial" w:cs="Arial" w:eastAsia="Arial" w:hAnsi="Arial"/>
          <w:sz w:val="20"/>
          <w:szCs w:val="20"/>
        </w:rPr>
        <w:t xml:space="preserve">General: newsletters, events and non-urgent centre information.</w:t>
      </w:r>
    </w:p>
    <w:p>
      <w:pPr>
        <w:pStyle w:val="Heading2"/>
        <w:spacing w:after="100" w:before="220"/>
      </w:pPr>
      <w:r>
        <w:rPr>
          <w:rFonts w:ascii="Arial" w:cs="Arial" w:eastAsia="Arial" w:hAnsi="Arial"/>
          <w:b/>
          <w:bCs/>
          <w:color w:val="1B3A5C"/>
          <w:sz w:val="24"/>
          <w:szCs w:val="24"/>
        </w:rPr>
        <w:t xml:space="preserve">6.3 Parent Family Account</w:t>
      </w:r>
    </w:p>
    <w:p>
      <w:pPr>
        <w:pStyle w:val="ListParagraph"/>
        <w:numPr>
          <w:ilvl w:val="0"/>
          <w:numId w:val="2"/>
        </w:numPr>
        <w:spacing w:after="60" w:line="264"/>
      </w:pPr>
      <w:r>
        <w:rPr>
          <w:rFonts w:ascii="Arial" w:cs="Arial" w:eastAsia="Arial" w:hAnsi="Arial"/>
          <w:sz w:val="20"/>
          <w:szCs w:val="20"/>
        </w:rPr>
        <w:t xml:space="preserve">One account supporting multiple children and, where authorised, multiple centres.</w:t>
      </w:r>
    </w:p>
    <w:p>
      <w:pPr>
        <w:pStyle w:val="ListParagraph"/>
        <w:numPr>
          <w:ilvl w:val="0"/>
          <w:numId w:val="2"/>
        </w:numPr>
        <w:spacing w:after="60" w:line="264"/>
      </w:pPr>
      <w:r>
        <w:rPr>
          <w:rFonts w:ascii="Arial" w:cs="Arial" w:eastAsia="Arial" w:hAnsi="Arial"/>
          <w:sz w:val="20"/>
          <w:szCs w:val="20"/>
        </w:rPr>
        <w:t xml:space="preserve">No repeated logout/login to switch between siblings.</w:t>
      </w:r>
    </w:p>
    <w:p>
      <w:pPr>
        <w:pStyle w:val="ListParagraph"/>
        <w:numPr>
          <w:ilvl w:val="0"/>
          <w:numId w:val="2"/>
        </w:numPr>
        <w:spacing w:after="60" w:line="264"/>
      </w:pPr>
      <w:r>
        <w:rPr>
          <w:rFonts w:ascii="Arial" w:cs="Arial" w:eastAsia="Arial" w:hAnsi="Arial"/>
          <w:sz w:val="20"/>
          <w:szCs w:val="20"/>
        </w:rPr>
        <w:t xml:space="preserve">Role-based access for parents, guardians and authorised pickup persons.</w:t>
      </w:r>
    </w:p>
    <w:p>
      <w:pPr>
        <w:pStyle w:val="ListParagraph"/>
        <w:numPr>
          <w:ilvl w:val="0"/>
          <w:numId w:val="2"/>
        </w:numPr>
        <w:spacing w:after="60" w:line="264"/>
      </w:pPr>
      <w:r>
        <w:rPr>
          <w:rFonts w:ascii="Arial" w:cs="Arial" w:eastAsia="Arial" w:hAnsi="Arial"/>
          <w:sz w:val="20"/>
          <w:szCs w:val="20"/>
        </w:rPr>
        <w:t xml:space="preserve">Configurable notification preferences.</w:t>
      </w:r>
    </w:p>
    <w:p>
      <w:pPr>
        <w:pStyle w:val="Heading1"/>
        <w:spacing w:after="140" w:before="320"/>
      </w:pPr>
      <w:r>
        <w:rPr>
          <w:rFonts w:ascii="Arial" w:cs="Arial" w:eastAsia="Arial" w:hAnsi="Arial"/>
          <w:b/>
          <w:bCs/>
          <w:color w:val="1B3A5C"/>
          <w:sz w:val="30"/>
          <w:szCs w:val="30"/>
        </w:rPr>
        <w:t xml:space="preserve">7. Parent Mobile Application Requirements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PAR-009 confirmed as Must for Phase 1 (full billing in MVP); PAR-014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6939"/>
        <w:gridCol w:w="1446"/>
      </w:tblGrid>
      <w:tr>
        <w:trPr>
          <w:tblHeader/>
        </w:trPr>
        <w:tc>
          <w:tcPr>
            <w:tcW w:type="dxa" w:w="125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44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account registration/login with optional biometric authentication.</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child-at-a-glance dashboard.</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Receive categorised push notifications.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PAR-004</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daily care records and timestamps.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PAR-005</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approved child photos/videos.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Securely message centre/room according to permissions.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PAR-007</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Complete and sign digital forms.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PAR-008</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attendance history and sign-in/out status.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PAR-009</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invoices, payments, receipts and understandable fee breakdowns (gross fee, subsidy, gap). Phase 1.</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PAR-010</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learning observations and child learning journey.</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Manage authorised pickup persons where permitted by centre policy.</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Choose notification preferences and digest behaviour.</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multiple languages for key parent-facing content.</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PAR-014</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Make payments and manage stored payment methods (card / direct debit) in-app. Phase 1.</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1"/>
        <w:spacing w:after="140" w:before="320"/>
      </w:pPr>
      <w:r>
        <w:rPr>
          <w:rFonts w:ascii="Arial" w:cs="Arial" w:eastAsia="Arial" w:hAnsi="Arial"/>
          <w:b/>
          <w:bCs/>
          <w:color w:val="1B3A5C"/>
          <w:sz w:val="30"/>
          <w:szCs w:val="30"/>
        </w:rPr>
        <w:t xml:space="preserve">8. Educator Application Requirements</w:t>
      </w:r>
    </w:p>
    <w:p>
      <w:pPr>
        <w:spacing w:after="120" w:line="276"/>
      </w:pPr>
      <w:r>
        <w:rPr>
          <w:rFonts w:ascii="Arial" w:cs="Arial" w:eastAsia="Arial" w:hAnsi="Arial"/>
          <w:sz w:val="20"/>
          <w:szCs w:val="20"/>
        </w:rPr>
        <w:t xml:space="preserve">The educator experience must prioritise speed, low cognitive load and minimal screen interaction.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6939"/>
        <w:gridCol w:w="1446"/>
      </w:tblGrid>
      <w:tr>
        <w:trPr>
          <w:tblHeader/>
        </w:trPr>
        <w:tc>
          <w:tcPr>
            <w:tcW w:type="dxa" w:w="125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44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attendance/check-in status.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One-tap/group logging for meals, sleep, toileting, bottles and activities.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Capture photos against approved child/room context.</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EDU-004</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Create observations and learning records.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EDU-005</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EYLF V2.0/MTOP V2.0-aligned documentation.</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medication administration with appropriate controls.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EDU-007</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incidents and initiate parent notification workflow.</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EDU-008</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Work offline and synchronise automatically when connectivity returns.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EDU-009</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Show sync state and resolve/flag data conflicts safely.</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EDU-010</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Allow educators to review/edit their submitted records according to permissions.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EDU-011</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Check in/out of a room and set on-floor / break / non-contact status (Phase 2, see §13A).</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EDU-012</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own roster and room ratio status (Phase 2, see §13A).</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1"/>
        <w:spacing w:after="140" w:before="320"/>
      </w:pPr>
      <w:r>
        <w:rPr>
          <w:rFonts w:ascii="Arial" w:cs="Arial" w:eastAsia="Arial" w:hAnsi="Arial"/>
          <w:b/>
          <w:bCs/>
          <w:color w:val="1B3A5C"/>
          <w:sz w:val="30"/>
          <w:szCs w:val="30"/>
        </w:rPr>
        <w:t xml:space="preserve">9. Group Logging &amp; Efficiency</w:t>
      </w:r>
    </w:p>
    <w:p>
      <w:pPr>
        <w:spacing w:after="120" w:line="276"/>
      </w:pPr>
      <w:r>
        <w:rPr>
          <w:rFonts w:ascii="Arial" w:cs="Arial" w:eastAsia="Arial" w:hAnsi="Arial"/>
          <w:sz w:val="20"/>
          <w:szCs w:val="20"/>
        </w:rPr>
        <w:t xml:space="preserve">The system should support a group-first workflow: an educator can record a common event once and then apply exceptions to individual children.</w:t>
      </w:r>
    </w:p>
    <w:p>
      <w:pPr>
        <w:spacing w:after="120" w:line="276"/>
      </w:pPr>
      <w:r>
        <w:rPr>
          <w:rFonts w:ascii="Arial" w:cs="Arial" w:eastAsia="Arial" w:hAnsi="Arial"/>
          <w:b/>
          <w:bCs/>
          <w:sz w:val="20"/>
          <w:szCs w:val="20"/>
        </w:rPr>
        <w:t xml:space="preserve">Example: </w:t>
      </w:r>
      <w:r>
        <w:rPr>
          <w:rFonts w:ascii="Arial" w:cs="Arial" w:eastAsia="Arial" w:hAnsi="Arial"/>
          <w:sz w:val="20"/>
          <w:szCs w:val="20"/>
        </w:rPr>
        <w:t xml:space="preserve">12 children have morning tea → educator records the group event once → adjusts individual exceptions only where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Product KPI: routine documentation time should be reduced by at least 40% compared with the centre’s baseline process.</w:t>
            </w:r>
          </w:p>
        </w:tc>
      </w:tr>
    </w:tbl>
    <w:p>
      <w:pPr>
        <w:spacing w:after="60"/>
      </w:pPr>
    </w:p>
    <w:p>
      <w:pPr>
        <w:pStyle w:val="Heading1"/>
        <w:spacing w:after="140" w:before="320"/>
      </w:pPr>
      <w:r>
        <w:rPr>
          <w:rFonts w:ascii="Arial" w:cs="Arial" w:eastAsia="Arial" w:hAnsi="Arial"/>
          <w:b/>
          <w:bCs/>
          <w:color w:val="1B3A5C"/>
          <w:sz w:val="30"/>
          <w:szCs w:val="30"/>
        </w:rPr>
        <w:t xml:space="preserve">10. Learning &amp; Curriculum Documentation</w:t>
      </w:r>
    </w:p>
    <w:p>
      <w:pPr>
        <w:pStyle w:val="ListParagraph"/>
        <w:numPr>
          <w:ilvl w:val="0"/>
          <w:numId w:val="2"/>
        </w:numPr>
        <w:spacing w:after="60" w:line="264"/>
      </w:pPr>
      <w:r>
        <w:rPr>
          <w:rFonts w:ascii="Arial" w:cs="Arial" w:eastAsia="Arial" w:hAnsi="Arial"/>
          <w:sz w:val="20"/>
          <w:szCs w:val="20"/>
        </w:rPr>
        <w:t xml:space="preserve">Support EYLF V2.0 and, where applicable, MTOP V2.0.</w:t>
      </w:r>
    </w:p>
    <w:p>
      <w:pPr>
        <w:pStyle w:val="ListParagraph"/>
        <w:numPr>
          <w:ilvl w:val="0"/>
          <w:numId w:val="2"/>
        </w:numPr>
        <w:spacing w:after="60" w:line="264"/>
      </w:pPr>
      <w:r>
        <w:rPr>
          <w:rFonts w:ascii="Arial" w:cs="Arial" w:eastAsia="Arial" w:hAnsi="Arial"/>
          <w:sz w:val="20"/>
          <w:szCs w:val="20"/>
        </w:rPr>
        <w:t xml:space="preserve">Observation → interpretation → learning outcome → evidence → reflection → next step workflow.</w:t>
      </w:r>
    </w:p>
    <w:p>
      <w:pPr>
        <w:pStyle w:val="ListParagraph"/>
        <w:numPr>
          <w:ilvl w:val="0"/>
          <w:numId w:val="2"/>
        </w:numPr>
        <w:spacing w:after="60" w:line="264"/>
      </w:pPr>
      <w:r>
        <w:rPr>
          <w:rFonts w:ascii="Arial" w:cs="Arial" w:eastAsia="Arial" w:hAnsi="Arial"/>
          <w:sz w:val="20"/>
          <w:szCs w:val="20"/>
        </w:rPr>
        <w:t xml:space="preserve">Link evidence/media to observations where authorised.</w:t>
      </w:r>
    </w:p>
    <w:p>
      <w:pPr>
        <w:pStyle w:val="ListParagraph"/>
        <w:numPr>
          <w:ilvl w:val="0"/>
          <w:numId w:val="2"/>
        </w:numPr>
        <w:spacing w:after="60" w:line="264"/>
      </w:pPr>
      <w:r>
        <w:rPr>
          <w:rFonts w:ascii="Arial" w:cs="Arial" w:eastAsia="Arial" w:hAnsi="Arial"/>
          <w:sz w:val="20"/>
          <w:szCs w:val="20"/>
        </w:rPr>
        <w:t xml:space="preserve">Search and filter by child, date, room, learning outcome and educator.</w:t>
      </w:r>
    </w:p>
    <w:p>
      <w:pPr>
        <w:pStyle w:val="ListParagraph"/>
        <w:numPr>
          <w:ilvl w:val="0"/>
          <w:numId w:val="2"/>
        </w:numPr>
        <w:spacing w:after="60" w:line="264"/>
      </w:pPr>
      <w:r>
        <w:rPr>
          <w:rFonts w:ascii="Arial" w:cs="Arial" w:eastAsia="Arial" w:hAnsi="Arial"/>
          <w:sz w:val="20"/>
          <w:szCs w:val="20"/>
        </w:rPr>
        <w:t xml:space="preserve">Maintain educator approval/edit history.</w:t>
      </w:r>
    </w:p>
    <w:p>
      <w:pPr>
        <w:pStyle w:val="ListParagraph"/>
        <w:numPr>
          <w:ilvl w:val="0"/>
          <w:numId w:val="2"/>
        </w:numPr>
        <w:spacing w:after="60" w:line="264"/>
      </w:pPr>
      <w:r>
        <w:rPr>
          <w:rFonts w:ascii="Arial" w:cs="Arial" w:eastAsia="Arial" w:hAnsi="Arial"/>
          <w:sz w:val="20"/>
          <w:szCs w:val="20"/>
        </w:rPr>
        <w:t xml:space="preserve">AI-assisted suggestions may be provided but must never automatically become an official educator assessment without human review.</w:t>
      </w:r>
    </w:p>
    <w:p>
      <w:pPr>
        <w:pStyle w:val="Heading1"/>
        <w:spacing w:after="140" w:before="320"/>
      </w:pPr>
      <w:r>
        <w:rPr>
          <w:rFonts w:ascii="Arial" w:cs="Arial" w:eastAsia="Arial" w:hAnsi="Arial"/>
          <w:b/>
          <w:bCs/>
          <w:color w:val="1B3A5C"/>
          <w:sz w:val="30"/>
          <w:szCs w:val="30"/>
        </w:rPr>
        <w:t xml:space="preserve">11. AI-Assisted Features</w:t>
      </w:r>
    </w:p>
    <w:p>
      <w:pPr>
        <w:spacing w:after="120" w:line="276"/>
      </w:pPr>
      <w:r>
        <w:rPr>
          <w:rFonts w:ascii="Arial" w:cs="Arial" w:eastAsia="Arial" w:hAnsi="Arial"/>
          <w:sz w:val="20"/>
          <w:szCs w:val="20"/>
        </w:rPr>
        <w:t xml:space="preserve">AI is intended to reduce administrative effort, not replace professional judgement.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4337"/>
        <w:gridCol w:w="2699"/>
      </w:tblGrid>
      <w:tr>
        <w:trPr>
          <w:tblHeader/>
        </w:trPr>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Capability</w:t>
            </w:r>
          </w:p>
        </w:tc>
        <w:tc>
          <w:tcPr>
            <w:tcW w:type="dxa" w:w="433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Example</w:t>
            </w:r>
          </w:p>
        </w:tc>
        <w:tc>
          <w:tcPr>
            <w:tcW w:type="dxa" w:w="269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Control</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 documentation assistant</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Suggest possible EYLF connections from an educator observation.</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must review/approve</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assistant</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Answer operational questions from authorised centre data.</w:t>
            </w:r>
          </w:p>
        </w:tc>
        <w:tc>
          <w:tcPr>
            <w:tcW w:type="dxa" w:w="269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Role-based access + audit</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Message drafting</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Help draft routine parent communications.</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Human review before sending</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Summarisation</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Summarise a child’s recent documented learning journey.</w:t>
            </w:r>
          </w:p>
        </w:tc>
        <w:tc>
          <w:tcPr>
            <w:tcW w:type="dxa" w:w="269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Authorised users only</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Administrative assistance</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Identify missing forms or upcoming expiries.</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Rules + human verification</w:t>
            </w:r>
          </w:p>
        </w:tc>
      </w:tr>
    </w:tbl>
    <w:p>
      <w:pPr>
        <w:spacing w:after="80"/>
      </w:pPr>
    </w:p>
    <w:p>
      <w:pPr>
        <w:spacing w:after="120" w:line="276"/>
      </w:pPr>
      <w:r>
        <w:rPr>
          <w:rFonts w:ascii="Arial" w:cs="Arial" w:eastAsia="Arial" w:hAnsi="Arial"/>
          <w:sz w:val="20"/>
          <w:szCs w:val="20"/>
        </w:rPr>
        <w:t xml:space="preserve">AI must not use children’s photographs, videos or personal information to train external/general-purpose models without explicit lawful authority and appropriate consent/governance.</w:t>
      </w:r>
    </w:p>
    <w:p>
      <w:pPr>
        <w:pStyle w:val="Heading1"/>
        <w:spacing w:after="140" w:before="320"/>
      </w:pPr>
      <w:r>
        <w:rPr>
          <w:rFonts w:ascii="Arial" w:cs="Arial" w:eastAsia="Arial" w:hAnsi="Arial"/>
          <w:b/>
          <w:bCs/>
          <w:color w:val="1B3A5C"/>
          <w:sz w:val="30"/>
          <w:szCs w:val="30"/>
        </w:rPr>
        <w:t xml:space="preserve">12. Centre Administration Web Portal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Phase column added; Rostering &amp; Ratios module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554"/>
        <w:gridCol w:w="1156"/>
      </w:tblGrid>
      <w:tr>
        <w:trPr>
          <w:tblHeader/>
        </w:trPr>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Module</w:t>
            </w:r>
          </w:p>
        </w:tc>
        <w:tc>
          <w:tcPr>
            <w:tcW w:type="dxa" w:w="6554"/>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Core Requirements</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Dashboard</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Children present, expected attendance, rooms, staff, alerts and actions. Live ratio status added in Phase 2.</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&amp; Family</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Profiles, guardians, permissions, documents, health/medical information.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Enrolments</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Enquiry, waitlist, offer, enrolment, document completion and onboarding.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Rooms</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 configuration, capacity, children and educators.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Attendance</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Live attendance, history, corrections and audit trail.</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Communication</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Announcements, room messages, emergency broadcast and acknowledgement tracking.</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Incidents</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notify, acknowledge, review and audit.</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Medication</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Authorisations, administration records, expiry alerts and audit.</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w:t>
            </w:r>
          </w:p>
        </w:tc>
        <w:tc>
          <w:tcPr>
            <w:tcW w:type="dxa" w:w="655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Fee schedules, invoices, payments, balances, receipts, statements, debt management, CCS subsidy data and reconciliation (see §15).</w:t>
            </w:r>
          </w:p>
        </w:tc>
        <w:tc>
          <w:tcPr>
            <w:tcW w:type="dxa" w:w="115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Reporting</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Operational, attendance, finance and compliance reports (core in Phase 1); learning, ratio and advanced reporting in Phase 2.</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 2</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Staff</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Profiles, qualifications, availability, training and expiry monitoring.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92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Rostering &amp; Ratios</w:t>
            </w:r>
          </w:p>
        </w:tc>
        <w:tc>
          <w:tcPr>
            <w:tcW w:type="dxa" w:w="655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 planning, ratio forecasting, live ratio compliance, alerts and ratio audit reports (see §13A).</w:t>
            </w:r>
          </w:p>
        </w:tc>
        <w:tc>
          <w:tcPr>
            <w:tcW w:type="dxa" w:w="115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bl>
    <w:p>
      <w:pPr>
        <w:spacing w:after="80"/>
      </w:pPr>
    </w:p>
    <w:p>
      <w:pPr>
        <w:pStyle w:val="Heading1"/>
        <w:spacing w:after="140" w:before="320"/>
      </w:pPr>
      <w:r>
        <w:rPr>
          <w:rFonts w:ascii="Arial" w:cs="Arial" w:eastAsia="Arial" w:hAnsi="Arial"/>
          <w:b/>
          <w:bCs/>
          <w:color w:val="1B3A5C"/>
          <w:sz w:val="30"/>
          <w:szCs w:val="30"/>
        </w:rPr>
        <w:t xml:space="preserve">13. Attendance, Pickup &amp; Child Safety</w:t>
      </w:r>
    </w:p>
    <w:p>
      <w:pPr>
        <w:pStyle w:val="ListParagraph"/>
        <w:numPr>
          <w:ilvl w:val="0"/>
          <w:numId w:val="2"/>
        </w:numPr>
        <w:spacing w:after="60" w:line="264"/>
      </w:pPr>
      <w:r>
        <w:rPr>
          <w:rFonts w:ascii="Arial" w:cs="Arial" w:eastAsia="Arial" w:hAnsi="Arial"/>
          <w:sz w:val="20"/>
          <w:szCs w:val="20"/>
        </w:rPr>
        <w:t xml:space="preserve">Support centre kiosk, QR/PIN and other approved attendance methods.</w:t>
      </w:r>
    </w:p>
    <w:p>
      <w:pPr>
        <w:pStyle w:val="ListParagraph"/>
        <w:numPr>
          <w:ilvl w:val="0"/>
          <w:numId w:val="2"/>
        </w:numPr>
        <w:spacing w:after="60" w:line="264"/>
      </w:pPr>
      <w:r>
        <w:rPr>
          <w:rFonts w:ascii="Arial" w:cs="Arial" w:eastAsia="Arial" w:hAnsi="Arial"/>
          <w:sz w:val="20"/>
          <w:szCs w:val="20"/>
        </w:rPr>
        <w:t xml:space="preserve">Maintain exact timestamp and audit history for sign-in/out events.</w:t>
      </w:r>
    </w:p>
    <w:p>
      <w:pPr>
        <w:pStyle w:val="ListParagraph"/>
        <w:numPr>
          <w:ilvl w:val="0"/>
          <w:numId w:val="2"/>
        </w:numPr>
        <w:spacing w:after="60" w:line="264"/>
      </w:pPr>
      <w:r>
        <w:rPr>
          <w:rFonts w:ascii="Arial" w:cs="Arial" w:eastAsia="Arial" w:hAnsi="Arial"/>
          <w:sz w:val="20"/>
          <w:szCs w:val="20"/>
        </w:rPr>
        <w:t xml:space="preserve">Maintain authorised pickup list with permissions and expiry.</w:t>
      </w:r>
    </w:p>
    <w:p>
      <w:pPr>
        <w:pStyle w:val="ListParagraph"/>
        <w:numPr>
          <w:ilvl w:val="0"/>
          <w:numId w:val="2"/>
        </w:numPr>
        <w:spacing w:after="60" w:line="264"/>
      </w:pPr>
      <w:r>
        <w:rPr>
          <w:rFonts w:ascii="Arial" w:cs="Arial" w:eastAsia="Arial" w:hAnsi="Arial"/>
          <w:sz w:val="20"/>
          <w:szCs w:val="20"/>
        </w:rPr>
        <w:t xml:space="preserve">Support optional verification mechanisms according to centre policy.</w:t>
      </w:r>
    </w:p>
    <w:p>
      <w:pPr>
        <w:pStyle w:val="ListParagraph"/>
        <w:numPr>
          <w:ilvl w:val="0"/>
          <w:numId w:val="2"/>
        </w:numPr>
        <w:spacing w:after="60" w:line="264"/>
      </w:pPr>
      <w:r>
        <w:rPr>
          <w:rFonts w:ascii="Arial" w:cs="Arial" w:eastAsia="Arial" w:hAnsi="Arial"/>
          <w:sz w:val="20"/>
          <w:szCs w:val="20"/>
        </w:rPr>
        <w:t xml:space="preserve">Provide clear exception handling for corrections and late changes.</w:t>
      </w:r>
    </w:p>
    <w:p>
      <w:pPr>
        <w:pStyle w:val="ListParagraph"/>
        <w:numPr>
          <w:ilvl w:val="0"/>
          <w:numId w:val="2"/>
        </w:numPr>
        <w:spacing w:after="60" w:line="264"/>
      </w:pPr>
      <w:r>
        <w:rPr>
          <w:rFonts w:ascii="Arial" w:cs="Arial" w:eastAsia="Arial" w:hAnsi="Arial"/>
          <w:sz w:val="20"/>
          <w:szCs w:val="20"/>
        </w:rPr>
        <w:t xml:space="preserve">Location/geofencing, if offered, must be optional and privacy-minimised.</w:t>
      </w:r>
    </w:p>
    <w:p>
      <w:pPr>
        <w:pStyle w:val="ListParagraph"/>
        <w:numPr>
          <w:ilvl w:val="0"/>
          <w:numId w:val="2"/>
        </w:numPr>
        <w:spacing w:after="60" w:line="264"/>
      </w:pPr>
      <w:r>
        <w:rPr>
          <w:rFonts w:ascii="Arial" w:cs="Arial" w:eastAsia="Arial" w:hAnsi="Arial"/>
          <w:sz w:val="20"/>
          <w:szCs w:val="20"/>
        </w:rPr>
        <w:t xml:space="preserve">Child attendance events are the source data for billing (§15), CCS session reporting and ratio calculation (§13A).</w:t>
      </w:r>
    </w:p>
    <w:p>
      <w:pPr>
        <w:pStyle w:val="Heading1"/>
        <w:spacing w:after="140" w:before="320"/>
      </w:pPr>
      <w:r>
        <w:rPr>
          <w:rFonts w:ascii="Arial" w:cs="Arial" w:eastAsia="Arial" w:hAnsi="Arial"/>
          <w:b/>
          <w:bCs/>
          <w:color w:val="1B3A5C"/>
          <w:sz w:val="30"/>
          <w:szCs w:val="30"/>
        </w:rPr>
        <w:t xml:space="preserve">13A. Educator-to-Child Ratios &amp; Rostering</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New section. Delivery: Phase 2.</w:t>
      </w:r>
    </w:p>
    <w:p>
      <w:pPr>
        <w:pStyle w:val="Heading2"/>
        <w:spacing w:after="100" w:before="220"/>
      </w:pPr>
      <w:r>
        <w:rPr>
          <w:rFonts w:ascii="Arial" w:cs="Arial" w:eastAsia="Arial" w:hAnsi="Arial"/>
          <w:b/>
          <w:bCs/>
          <w:color w:val="1B3A5C"/>
          <w:sz w:val="24"/>
          <w:szCs w:val="24"/>
        </w:rPr>
        <w:t xml:space="preserve">13A.1 Purpose and regulatory context</w:t>
      </w:r>
    </w:p>
    <w:p>
      <w:pPr>
        <w:spacing w:after="120" w:line="276"/>
      </w:pPr>
      <w:r>
        <w:rPr>
          <w:rFonts w:ascii="Arial" w:cs="Arial" w:eastAsia="Arial" w:hAnsi="Arial"/>
          <w:sz w:val="20"/>
          <w:szCs w:val="20"/>
        </w:rPr>
        <w:t xml:space="preserve">Under the Education and Care Services National Law and Regulations (National Quality Framework), approved providers must maintain minimum educator-to-child ratios and qualification requirements at all times while a service operates. For centre-based services, ACECQA guidance is that ratios are calculated across the whole service (“under the roof”) based on all children in attendance, not room by room. Only educators working directly with children (physically present and directly engaged in education and care) count toward ratios. Requirements vary by state/territory, service type and children’s ages, and change over time.</w:t>
      </w:r>
    </w:p>
    <w:p>
      <w:pPr>
        <w:spacing w:after="120" w:line="276"/>
      </w:pPr>
      <w:r>
        <w:rPr>
          <w:rFonts w:ascii="Arial" w:cs="Arial" w:eastAsia="Arial" w:hAnsi="Arial"/>
          <w:sz w:val="20"/>
          <w:szCs w:val="20"/>
        </w:rPr>
        <w:t xml:space="preserve">The platform must give centres real-time and forecast visibility of ratio and qualification compliance, and a roster tool that plans staffing to meet those requirements. The platform supports compliance; legal responsibility remains with the approved provider.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Design rule: ratio and qualification rules must be configuration data (versioned, effective-dated, per jurisdiction and service type), never hard-coded, so they can be updated without a software release.</w:t>
            </w:r>
          </w:p>
        </w:tc>
      </w:tr>
    </w:tbl>
    <w:p>
      <w:pPr>
        <w:spacing w:after="60"/>
      </w:pPr>
    </w:p>
    <w:p>
      <w:pPr>
        <w:pStyle w:val="Heading2"/>
        <w:spacing w:after="100" w:before="220"/>
      </w:pPr>
      <w:r>
        <w:rPr>
          <w:rFonts w:ascii="Arial" w:cs="Arial" w:eastAsia="Arial" w:hAnsi="Arial"/>
          <w:b/>
          <w:bCs/>
          <w:color w:val="1B3A5C"/>
          <w:sz w:val="24"/>
          <w:szCs w:val="24"/>
        </w:rPr>
        <w:t xml:space="preserve">13A.2 Reference ratios (indicative – must be validated)</w:t>
      </w:r>
    </w:p>
    <w:p>
      <w:pPr>
        <w:spacing w:after="120" w:line="276"/>
      </w:pPr>
      <w:r>
        <w:rPr>
          <w:rFonts w:ascii="Arial" w:cs="Arial" w:eastAsia="Arial" w:hAnsi="Arial"/>
          <w:i/>
          <w:iCs/>
          <w:sz w:val="20"/>
          <w:szCs w:val="20"/>
        </w:rPr>
        <w:t xml:space="preserve">The table below is indicative of centre-based requirements at the time of writing and is provided to illustrate the rule model. The development team must validate current values against the National Regulations, ACECQA and each state/territory regulator before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Age of children</w:t>
            </w:r>
          </w:p>
        </w:tc>
        <w:tc>
          <w:tcPr>
            <w:tcW w:type="dxa" w:w="530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Educator : child ratio (centre-based)</w:t>
            </w:r>
          </w:p>
        </w:tc>
      </w:tr>
      <w:tr>
        <w:trPr>
          <w:cantSplit/>
        </w:trPr>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Birth to 24 months</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1:4 (all states and territories)</w:t>
            </w:r>
          </w:p>
        </w:tc>
      </w:tr>
      <w:tr>
        <w:trPr>
          <w:cantSplit/>
        </w:trPr>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24 months and less than 36 months</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1:5 (VIC: 1:4)</w:t>
            </w:r>
          </w:p>
        </w:tc>
      </w:tr>
      <w:tr>
        <w:trPr>
          <w:cantSplit/>
        </w:trPr>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36 months up to and including preschool age</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1:11 (ACT, NT, QLD, VIC); 1:10 (NSW, SA*, TAS*, WA)</w:t>
            </w:r>
          </w:p>
        </w:tc>
      </w:tr>
      <w:tr>
        <w:trPr>
          <w:cantSplit/>
        </w:trPr>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preschool age (school age)</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1:15 (NSW, NT, QLD, SA, TAS, VIC); 1:11 (ACT); 1:13 (WA*)</w:t>
            </w:r>
          </w:p>
        </w:tc>
      </w:tr>
    </w:tbl>
    <w:p>
      <w:pPr>
        <w:spacing w:after="80"/>
      </w:pPr>
    </w:p>
    <w:p>
      <w:pPr>
        <w:spacing w:after="120" w:line="276"/>
      </w:pPr>
      <w:r>
        <w:rPr>
          <w:rFonts w:ascii="Arial" w:cs="Arial" w:eastAsia="Arial" w:hAnsi="Arial"/>
          <w:color w:val="5A6472"/>
          <w:sz w:val="18"/>
          <w:szCs w:val="18"/>
        </w:rPr>
        <w:t xml:space="preserve">* Jurisdiction-specific variations and exceptions apply (e.g. preschool programs, disadvantaged preschools, kindergarten settings). Additional rules include mixed-age calculations, early childhood teacher (ECT) requirements by number of children, the requirement that at least 50% of educators counted in ratio hold or be actively working towards a diploma-level qualification, and any staffing waivers in force.</w:t>
      </w:r>
    </w:p>
    <w:p>
      <w:pPr>
        <w:pStyle w:val="Heading2"/>
        <w:spacing w:after="100" w:before="220"/>
      </w:pPr>
      <w:r>
        <w:rPr>
          <w:rFonts w:ascii="Arial" w:cs="Arial" w:eastAsia="Arial" w:hAnsi="Arial"/>
          <w:b/>
          <w:bCs/>
          <w:color w:val="1B3A5C"/>
          <w:sz w:val="24"/>
          <w:szCs w:val="24"/>
        </w:rPr>
        <w:t xml:space="preserve">13A.3 Ratio compliance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Configurable ratio rule engine by jurisdiction, service type, age band and effective date. Rules versioned and auditable; changes restricted to authorised platform administrators.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Calculate the minimum number of educators required across the whole service from children currently signed in and their age mix, including mixed-age rules (older-age-group educators may cover younger groups only where the regulations allow).</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Derive each child’s age band from date of birth on the calculation date; handle birthdays that move a child between bands automatically.</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Count only educators marked as working directly with children. Educators on break, programming time or administrative duties are excluded until they return to the floor.</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Recalculate in real time on every child sign-in/out and every educator room check-in/out or status change (target: visible within 30 seconds of the event when online).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Qualification compliance: check ECT requirements by number of children in attendance, the 50% diploma-qualified rule, and whether counted educators hold or are actively working towards an approved qualification.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Room-level view showing children, educators and room status for supervision planning, clearly labelled as operational and distinct from the whole-service compliance figure.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Alerts: (a) predictive warning when a scheduled break, shift end or expected arrival will cause a shortfall (configurable lead time, default 15 minutes); (b) immediate alert on actual shortfall to room leader, responsible person and director via educator app and portal.</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the responsible person in charge, staffing waivers and temporary exceptions permitted by the jurisdiction, with reason, start/end and approver.</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 audit trail: store a snapshot on every change event and at a configurable interval (default 5 minutes), including children by age band, educators counted, required vs actual and qualification status.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 compliance reports by service, day and time range, exportable (PDF/CSV) for assessment and rating visits or regulator requests, including breach periods and duration.</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 behaviour: the educator app continues to show a ratio indicator from locally cached data, marked “unverified” until sync; server recalculates on sync and raises retrospective alerts if a breach is detected.</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ratio status on the dashboard: green (compliant), amber (compliant but at risk within lead time), red (shortfall).</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Display a clear notice that calculations are a decision-support tool and that the approved provider remains responsible for compliance and adequate supervision.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2"/>
        <w:spacing w:after="100" w:before="220"/>
      </w:pPr>
      <w:r>
        <w:rPr>
          <w:rFonts w:ascii="Arial" w:cs="Arial" w:eastAsia="Arial" w:hAnsi="Arial"/>
          <w:b/>
          <w:bCs/>
          <w:color w:val="1B3A5C"/>
          <w:sz w:val="24"/>
          <w:szCs w:val="24"/>
        </w:rPr>
        <w:t xml:space="preserve">13A.4 Rostering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Create and publish weekly/fortnightly rosters by room with shifts, breaks and roles (e.g. room leader, ECT, float, cook).</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Forecast required educators in 15-minute intervals from booked/expected attendance and age mix, and compare with rostered staff (ratio forecast view).</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Validate the roster against ratio and qualification rules (RAT-001, RAT-006) and flag gaps before publishing.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Break planning: schedule breaks so ratios are maintained, and propose break-cover assignments.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Prevent or warn when rostering staff whose mandatory checks are missing or expired (e.g. Working with Children Check, first aid, anaphylaxis and asthma training) as configured by the centre.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Staff availability, leave requests and shift-swap requests with manager approval.</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Publish rosters and changes to the educator app with notifications.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Capture actual start/finish and breaks (educator clock in/out) and compare actual vs rostered; export timesheets for external payroll (payroll processing out of scope).</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 cost view: rostered hours and estimated wage cost against budget, using configured pay rates.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Same-day re-rostering: when attendance or staffing changes, show impact on ratios and suggest available staff.</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bl>
    <w:p>
      <w:pPr>
        <w:spacing w:after="80"/>
      </w:pPr>
    </w:p>
    <w:p>
      <w:pPr>
        <w:pStyle w:val="Heading2"/>
        <w:spacing w:after="100" w:before="220"/>
      </w:pPr>
      <w:r>
        <w:rPr>
          <w:rFonts w:ascii="Arial" w:cs="Arial" w:eastAsia="Arial" w:hAnsi="Arial"/>
          <w:b/>
          <w:bCs/>
          <w:color w:val="1B3A5C"/>
          <w:sz w:val="24"/>
          <w:szCs w:val="24"/>
        </w:rPr>
        <w:t xml:space="preserve">13A.5 Key data entities</w:t>
      </w:r>
    </w:p>
    <w:p>
      <w:pPr>
        <w:pStyle w:val="ListParagraph"/>
        <w:numPr>
          <w:ilvl w:val="0"/>
          <w:numId w:val="2"/>
        </w:numPr>
        <w:spacing w:after="60" w:line="264"/>
      </w:pPr>
      <w:r>
        <w:rPr>
          <w:rFonts w:ascii="Arial" w:cs="Arial" w:eastAsia="Arial" w:hAnsi="Arial"/>
          <w:sz w:val="20"/>
          <w:szCs w:val="20"/>
        </w:rPr>
        <w:t xml:space="preserve">RatioRuleSet (jurisdiction, service type, effective from/to, version) → RatioRule (age band, ratio, mixed-age behaviour, qualification rules).</w:t>
      </w:r>
    </w:p>
    <w:p>
      <w:pPr>
        <w:pStyle w:val="ListParagraph"/>
        <w:numPr>
          <w:ilvl w:val="0"/>
          <w:numId w:val="2"/>
        </w:numPr>
        <w:spacing w:after="60" w:line="264"/>
      </w:pPr>
      <w:r>
        <w:rPr>
          <w:rFonts w:ascii="Arial" w:cs="Arial" w:eastAsia="Arial" w:hAnsi="Arial"/>
          <w:sz w:val="20"/>
          <w:szCs w:val="20"/>
        </w:rPr>
        <w:t xml:space="preserve">StaffMember → Qualification (type, status: held / actively working towards, evidence, expiry) and ComplianceCheck (WWCC, first aid, etc.).</w:t>
      </w:r>
    </w:p>
    <w:p>
      <w:pPr>
        <w:pStyle w:val="ListParagraph"/>
        <w:numPr>
          <w:ilvl w:val="0"/>
          <w:numId w:val="2"/>
        </w:numPr>
        <w:spacing w:after="60" w:line="264"/>
      </w:pPr>
      <w:r>
        <w:rPr>
          <w:rFonts w:ascii="Arial" w:cs="Arial" w:eastAsia="Arial" w:hAnsi="Arial"/>
          <w:sz w:val="20"/>
          <w:szCs w:val="20"/>
        </w:rPr>
        <w:t xml:space="preserve">EducatorPresence events (room check-in/out, on-floor / break / non-contact status, timestamp, source device).</w:t>
      </w:r>
    </w:p>
    <w:p>
      <w:pPr>
        <w:pStyle w:val="ListParagraph"/>
        <w:numPr>
          <w:ilvl w:val="0"/>
          <w:numId w:val="2"/>
        </w:numPr>
        <w:spacing w:after="60" w:line="264"/>
      </w:pPr>
      <w:r>
        <w:rPr>
          <w:rFonts w:ascii="Arial" w:cs="Arial" w:eastAsia="Arial" w:hAnsi="Arial"/>
          <w:sz w:val="20"/>
          <w:szCs w:val="20"/>
        </w:rPr>
        <w:t xml:space="preserve">Roster → Shift → Break; RatioSnapshot (time, children by age band, educators counted, required, actual, status); RatioAlert; StaffingWaiver.</w:t>
      </w:r>
    </w:p>
    <w:p>
      <w:pPr>
        <w:pStyle w:val="Heading2"/>
        <w:spacing w:after="100" w:before="220"/>
      </w:pPr>
      <w:r>
        <w:rPr>
          <w:rFonts w:ascii="Arial" w:cs="Arial" w:eastAsia="Arial" w:hAnsi="Arial"/>
          <w:b/>
          <w:bCs/>
          <w:color w:val="1B3A5C"/>
          <w:sz w:val="24"/>
          <w:szCs w:val="24"/>
        </w:rPr>
        <w:t xml:space="preserve">13A.6 Acceptance criteria</w:t>
      </w:r>
    </w:p>
    <w:p>
      <w:pPr>
        <w:pStyle w:val="ListParagraph"/>
        <w:numPr>
          <w:ilvl w:val="0"/>
          <w:numId w:val="2"/>
        </w:numPr>
        <w:spacing w:after="60" w:line="264"/>
      </w:pPr>
      <w:r>
        <w:rPr>
          <w:rFonts w:ascii="Arial" w:cs="Arial" w:eastAsia="Arial" w:hAnsi="Arial"/>
          <w:sz w:val="20"/>
          <w:szCs w:val="20"/>
        </w:rPr>
        <w:t xml:space="preserve">For a given attendance and age mix, the calculated required educators matches the ACECQA educator-to-child ratio calculator for the same jurisdiction and inputs across an agreed test set.</w:t>
      </w:r>
    </w:p>
    <w:p>
      <w:pPr>
        <w:pStyle w:val="ListParagraph"/>
        <w:numPr>
          <w:ilvl w:val="0"/>
          <w:numId w:val="2"/>
        </w:numPr>
        <w:spacing w:after="60" w:line="264"/>
      </w:pPr>
      <w:r>
        <w:rPr>
          <w:rFonts w:ascii="Arial" w:cs="Arial" w:eastAsia="Arial" w:hAnsi="Arial"/>
          <w:sz w:val="20"/>
          <w:szCs w:val="20"/>
        </w:rPr>
        <w:t xml:space="preserve">Setting an educator to “break” immediately removes them from the count and triggers an alert if a shortfall results.</w:t>
      </w:r>
    </w:p>
    <w:p>
      <w:pPr>
        <w:pStyle w:val="ListParagraph"/>
        <w:numPr>
          <w:ilvl w:val="0"/>
          <w:numId w:val="2"/>
        </w:numPr>
        <w:spacing w:after="60" w:line="264"/>
      </w:pPr>
      <w:r>
        <w:rPr>
          <w:rFonts w:ascii="Arial" w:cs="Arial" w:eastAsia="Arial" w:hAnsi="Arial"/>
          <w:sz w:val="20"/>
          <w:szCs w:val="20"/>
        </w:rPr>
        <w:t xml:space="preserve">A roster that fails ratio or qualification rules for any interval cannot be published without an explicit, audited override.</w:t>
      </w:r>
    </w:p>
    <w:p>
      <w:pPr>
        <w:pStyle w:val="ListParagraph"/>
        <w:numPr>
          <w:ilvl w:val="0"/>
          <w:numId w:val="2"/>
        </w:numPr>
        <w:spacing w:after="60" w:line="264"/>
      </w:pPr>
      <w:r>
        <w:rPr>
          <w:rFonts w:ascii="Arial" w:cs="Arial" w:eastAsia="Arial" w:hAnsi="Arial"/>
          <w:sz w:val="20"/>
          <w:szCs w:val="20"/>
        </w:rPr>
        <w:t xml:space="preserve">A director can export a ratio compliance report for any past day showing required vs actual educators at each change event.</w:t>
      </w:r>
    </w:p>
    <w:p>
      <w:pPr>
        <w:pStyle w:val="Heading1"/>
        <w:spacing w:after="140" w:before="320"/>
      </w:pPr>
      <w:r>
        <w:rPr>
          <w:rFonts w:ascii="Arial" w:cs="Arial" w:eastAsia="Arial" w:hAnsi="Arial"/>
          <w:b/>
          <w:bCs/>
          <w:color w:val="1B3A5C"/>
          <w:sz w:val="30"/>
          <w:szCs w:val="30"/>
        </w:rPr>
        <w:t xml:space="preserve">14. Medication &amp; Incident Management</w:t>
      </w:r>
    </w:p>
    <w:p>
      <w:pPr>
        <w:spacing w:after="120" w:line="276"/>
      </w:pPr>
      <w:r>
        <w:rPr>
          <w:rFonts w:ascii="Arial" w:cs="Arial" w:eastAsia="Arial" w:hAnsi="Arial"/>
          <w:b/>
          <w:bCs/>
          <w:sz w:val="20"/>
          <w:szCs w:val="20"/>
        </w:rPr>
        <w:t xml:space="preserve">Medication: </w:t>
      </w:r>
      <w:r>
        <w:rPr>
          <w:rFonts w:ascii="Arial" w:cs="Arial" w:eastAsia="Arial" w:hAnsi="Arial"/>
          <w:sz w:val="20"/>
          <w:szCs w:val="20"/>
        </w:rPr>
        <w:t xml:space="preserve">authorisation, medication details, dosage/instructions, expiry, administration timestamp, administering staff member, parent/guardian notification where required, audit history.</w:t>
      </w:r>
    </w:p>
    <w:p>
      <w:pPr>
        <w:spacing w:after="120" w:line="276"/>
      </w:pPr>
      <w:r>
        <w:rPr>
          <w:rFonts w:ascii="Arial" w:cs="Arial" w:eastAsia="Arial" w:hAnsi="Arial"/>
          <w:b/>
          <w:bCs/>
          <w:sz w:val="20"/>
          <w:szCs w:val="20"/>
        </w:rPr>
        <w:t xml:space="preserve">Incident: </w:t>
      </w:r>
      <w:r>
        <w:rPr>
          <w:rFonts w:ascii="Arial" w:cs="Arial" w:eastAsia="Arial" w:hAnsi="Arial"/>
          <w:sz w:val="20"/>
          <w:szCs w:val="20"/>
        </w:rPr>
        <w:t xml:space="preserve">incident capture, relevant child/staff context, notes, evidence where appropriate, parent notification, acknowledgement, management review and immutable audit history.</w:t>
      </w:r>
    </w:p>
    <w:p>
      <w:pPr>
        <w:pStyle w:val="Heading1"/>
        <w:spacing w:after="140" w:before="320"/>
      </w:pPr>
      <w:r>
        <w:rPr>
          <w:rFonts w:ascii="Arial" w:cs="Arial" w:eastAsia="Arial" w:hAnsi="Arial"/>
          <w:b/>
          <w:bCs/>
          <w:color w:val="1B3A5C"/>
          <w:sz w:val="30"/>
          <w:szCs w:val="30"/>
        </w:rPr>
        <w:t xml:space="preserve">15. Billing &amp; Child Care Subsidy (CCS)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Full billing, payments and CCS integration are Must for Phase 1. Detailed billing requirements added.</w:t>
      </w:r>
    </w:p>
    <w:p>
      <w:pPr>
        <w:pStyle w:val="Heading2"/>
        <w:spacing w:after="100" w:before="220"/>
      </w:pPr>
      <w:r>
        <w:rPr>
          <w:rFonts w:ascii="Arial" w:cs="Arial" w:eastAsia="Arial" w:hAnsi="Arial"/>
          <w:b/>
          <w:bCs/>
          <w:color w:val="1B3A5C"/>
          <w:sz w:val="24"/>
          <w:szCs w:val="24"/>
        </w:rPr>
        <w:t xml:space="preserve">15.1 Principles</w:t>
      </w:r>
    </w:p>
    <w:p>
      <w:pPr>
        <w:pStyle w:val="ListParagraph"/>
        <w:numPr>
          <w:ilvl w:val="0"/>
          <w:numId w:val="2"/>
        </w:numPr>
        <w:spacing w:after="60" w:line="264"/>
      </w:pPr>
      <w:r>
        <w:rPr>
          <w:rFonts w:ascii="Arial" w:cs="Arial" w:eastAsia="Arial" w:hAnsi="Arial"/>
          <w:sz w:val="20"/>
          <w:szCs w:val="20"/>
        </w:rPr>
        <w:t xml:space="preserve">Provide understandable gross fee, subsidy-related information, gap/out-of-pocket amount, payments and balance.</w:t>
      </w:r>
    </w:p>
    <w:p>
      <w:pPr>
        <w:pStyle w:val="ListParagraph"/>
        <w:numPr>
          <w:ilvl w:val="0"/>
          <w:numId w:val="2"/>
        </w:numPr>
        <w:spacing w:after="60" w:line="264"/>
      </w:pPr>
      <w:r>
        <w:rPr>
          <w:rFonts w:ascii="Arial" w:cs="Arial" w:eastAsia="Arial" w:hAnsi="Arial"/>
          <w:sz w:val="20"/>
          <w:szCs w:val="20"/>
        </w:rPr>
        <w:t xml:space="preserve">Clearly distinguish estimated information from government-confirmed information.</w:t>
      </w:r>
    </w:p>
    <w:p>
      <w:pPr>
        <w:pStyle w:val="ListParagraph"/>
        <w:numPr>
          <w:ilvl w:val="0"/>
          <w:numId w:val="2"/>
        </w:numPr>
        <w:spacing w:after="60" w:line="264"/>
      </w:pPr>
      <w:r>
        <w:rPr>
          <w:rFonts w:ascii="Arial" w:cs="Arial" w:eastAsia="Arial" w:hAnsi="Arial"/>
          <w:sz w:val="20"/>
          <w:szCs w:val="20"/>
        </w:rPr>
        <w:t xml:space="preserve">Support invoice history, receipts and payment status.</w:t>
      </w:r>
    </w:p>
    <w:p>
      <w:pPr>
        <w:pStyle w:val="ListParagraph"/>
        <w:numPr>
          <w:ilvl w:val="0"/>
          <w:numId w:val="2"/>
        </w:numPr>
        <w:spacing w:after="60" w:line="264"/>
      </w:pPr>
      <w:r>
        <w:rPr>
          <w:rFonts w:ascii="Arial" w:cs="Arial" w:eastAsia="Arial" w:hAnsi="Arial"/>
          <w:sz w:val="20"/>
          <w:szCs w:val="20"/>
        </w:rPr>
        <w:t xml:space="preserve">Support configurable payment methods subject to selected payment provider.</w:t>
      </w:r>
    </w:p>
    <w:p>
      <w:pPr>
        <w:pStyle w:val="ListParagraph"/>
        <w:numPr>
          <w:ilvl w:val="0"/>
          <w:numId w:val="2"/>
        </w:numPr>
        <w:spacing w:after="60" w:line="264"/>
      </w:pPr>
      <w:r>
        <w:rPr>
          <w:rFonts w:ascii="Arial" w:cs="Arial" w:eastAsia="Arial" w:hAnsi="Arial"/>
          <w:sz w:val="20"/>
          <w:szCs w:val="20"/>
        </w:rPr>
        <w:t xml:space="preserve">Design CCS connectivity around current Australian Government/Services Australia requirements and registered-software processes.</w:t>
      </w:r>
    </w:p>
    <w:p>
      <w:pPr>
        <w:pStyle w:val="ListParagraph"/>
        <w:numPr>
          <w:ilvl w:val="0"/>
          <w:numId w:val="2"/>
        </w:numPr>
        <w:spacing w:after="60" w:line="264"/>
      </w:pPr>
      <w:r>
        <w:rPr>
          <w:rFonts w:ascii="Arial" w:cs="Arial" w:eastAsia="Arial" w:hAnsi="Arial"/>
          <w:sz w:val="20"/>
          <w:szCs w:val="20"/>
        </w:rPr>
        <w:t xml:space="preserve">Maintain reconciliation/audit records for relevant transactions and data exchanges.</w:t>
      </w:r>
    </w:p>
    <w:p>
      <w:pPr>
        <w:pStyle w:val="ListParagraph"/>
        <w:numPr>
          <w:ilvl w:val="0"/>
          <w:numId w:val="2"/>
        </w:numPr>
        <w:spacing w:after="60" w:line="264"/>
      </w:pPr>
      <w:r>
        <w:rPr>
          <w:rFonts w:ascii="Arial" w:cs="Arial" w:eastAsia="Arial" w:hAnsi="Arial"/>
          <w:sz w:val="20"/>
          <w:szCs w:val="20"/>
        </w:rPr>
        <w:t xml:space="preserve">Do not represent third-party/government calculations as guaranteed where the platform does not control the source data.</w:t>
      </w:r>
    </w:p>
    <w:p>
      <w:pPr>
        <w:pStyle w:val="Heading2"/>
        <w:spacing w:after="100" w:before="220"/>
      </w:pPr>
      <w:r>
        <w:rPr>
          <w:rFonts w:ascii="Arial" w:cs="Arial" w:eastAsia="Arial" w:hAnsi="Arial"/>
          <w:b/>
          <w:bCs/>
          <w:color w:val="1B3A5C"/>
          <w:sz w:val="24"/>
          <w:szCs w:val="24"/>
        </w:rPr>
        <w:t xml:space="preserve">15.2 Billing requirements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Configure fee schedules per centre and room: session/daily fees, hourly fees, age-based fees, sibling discounts, late-pickup and other ad-hoc fees, with effective dates.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Manage child bookings (permanent and casual) and absences that drive charges, including allowable-absence handling.</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Generate invoices/statements on a configurable cycle (weekly, fortnightly, monthly), in advance or in arrears, from bookings and attendance.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Apply CCS: record enrolment and CCS entitlement data, apply estimated subsidy to calculate gap fee, and update to government-confirmed amounts when received; show both states clearly.</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Submit session reports and enrolment notices through the registered CCS integration; process responses, rejections and resubmissions.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Accept payments via card and direct debit (BECS) through a PCI-DSS-compliant gateway with tokenisation; the platform never stores full card data.</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Scheduled automatic direct debits with parent authorisation, retries on failure and failed-payment notifications.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manual payments (bank transfer, cash) and issue receipts automatically.</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Credits, adjustments, refunds and write-offs with reason codes, approval rules and audit history.</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Family account ledger with running balance, ageing and overdue reminders (configurable schedule).</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Parent-facing explainable fee breakdown per invoice: gross fee, subsidy (estimated/confirmed), gap, payments and balance (PAR-009).</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and CCS reconciliation dashboards for administrators, including unmatched payments and subsidy variances.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Finance reports: revenue, debtors, payments received, subsidy received vs expected; export to CSV for external accounting.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multiple payers per child (e.g. separated parents splitting fees) where authorised.</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Important: </w:t>
            </w:r>
            <w:r>
              <w:rPr>
                <w:rFonts w:ascii="Arial" w:cs="Arial" w:eastAsia="Arial" w:hAnsi="Arial"/>
                <w:color w:val="1B3A5C"/>
                <w:sz w:val="20"/>
                <w:szCs w:val="20"/>
              </w:rPr>
              <w:t xml:space="preserve">production CCS transaction functionality is subject to applicable Australian Government registration, testing, security, authentication and integration requirements. Because full billing is now in Phase 1, CCS third-party software registration must start during discovery and is a critical-path dependency for Phase 1 go-live (see §27).</w:t>
            </w:r>
          </w:p>
        </w:tc>
      </w:tr>
    </w:tbl>
    <w:p>
      <w:pPr>
        <w:spacing w:after="60"/>
      </w:pPr>
    </w:p>
    <w:p>
      <w:pPr>
        <w:pStyle w:val="Heading1"/>
        <w:spacing w:after="140" w:before="320"/>
      </w:pPr>
      <w:r>
        <w:rPr>
          <w:rFonts w:ascii="Arial" w:cs="Arial" w:eastAsia="Arial" w:hAnsi="Arial"/>
          <w:b/>
          <w:bCs/>
          <w:color w:val="1B3A5C"/>
          <w:sz w:val="30"/>
          <w:szCs w:val="30"/>
        </w:rPr>
        <w:t xml:space="preserve">16. Notifications &amp; Communication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703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Description</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levels</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Urgent, action required, child update, general.</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Push</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Reliable push notifications with retry/error monitoring.</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Fallback</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Configurable SMS/email fallback for defined critical events.</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Read/acknowledge</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Track delivery, read and acknowledgement where required.</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Digest</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Group low-priority events to reduce notification fatigue.</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Preferences</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Parent-configurable preferences subject to centre policy.</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Emergency</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Separate emergency broadcast capability.</w:t>
            </w:r>
          </w:p>
        </w:tc>
      </w:tr>
    </w:tbl>
    <w:p>
      <w:pPr>
        <w:spacing w:after="80"/>
      </w:pPr>
    </w:p>
    <w:p>
      <w:pPr>
        <w:pStyle w:val="Heading1"/>
        <w:spacing w:after="140" w:before="320"/>
      </w:pPr>
      <w:r>
        <w:rPr>
          <w:rFonts w:ascii="Arial" w:cs="Arial" w:eastAsia="Arial" w:hAnsi="Arial"/>
          <w:b/>
          <w:bCs/>
          <w:color w:val="1B3A5C"/>
          <w:sz w:val="30"/>
          <w:szCs w:val="30"/>
        </w:rPr>
        <w:t xml:space="preserve">17. Media Management</w:t>
      </w:r>
    </w:p>
    <w:p>
      <w:pPr>
        <w:pStyle w:val="ListParagraph"/>
        <w:numPr>
          <w:ilvl w:val="0"/>
          <w:numId w:val="2"/>
        </w:numPr>
        <w:spacing w:after="60" w:line="264"/>
      </w:pPr>
      <w:r>
        <w:rPr>
          <w:rFonts w:ascii="Arial" w:cs="Arial" w:eastAsia="Arial" w:hAnsi="Arial"/>
          <w:sz w:val="20"/>
          <w:szCs w:val="20"/>
        </w:rPr>
        <w:t xml:space="preserve">Store child media securely with role-based access.</w:t>
      </w:r>
    </w:p>
    <w:p>
      <w:pPr>
        <w:pStyle w:val="ListParagraph"/>
        <w:numPr>
          <w:ilvl w:val="0"/>
          <w:numId w:val="2"/>
        </w:numPr>
        <w:spacing w:after="60" w:line="264"/>
      </w:pPr>
      <w:r>
        <w:rPr>
          <w:rFonts w:ascii="Arial" w:cs="Arial" w:eastAsia="Arial" w:hAnsi="Arial"/>
          <w:sz w:val="20"/>
          <w:szCs w:val="20"/>
        </w:rPr>
        <w:t xml:space="preserve">Associate media with child/room/activity according to permissions.</w:t>
      </w:r>
    </w:p>
    <w:p>
      <w:pPr>
        <w:pStyle w:val="ListParagraph"/>
        <w:numPr>
          <w:ilvl w:val="0"/>
          <w:numId w:val="2"/>
        </w:numPr>
        <w:spacing w:after="60" w:line="264"/>
      </w:pPr>
      <w:r>
        <w:rPr>
          <w:rFonts w:ascii="Arial" w:cs="Arial" w:eastAsia="Arial" w:hAnsi="Arial"/>
          <w:sz w:val="20"/>
          <w:szCs w:val="20"/>
        </w:rPr>
        <w:t xml:space="preserve">Support configurable download/share controls.</w:t>
      </w:r>
    </w:p>
    <w:p>
      <w:pPr>
        <w:pStyle w:val="ListParagraph"/>
        <w:numPr>
          <w:ilvl w:val="0"/>
          <w:numId w:val="2"/>
        </w:numPr>
        <w:spacing w:after="60" w:line="264"/>
      </w:pPr>
      <w:r>
        <w:rPr>
          <w:rFonts w:ascii="Arial" w:cs="Arial" w:eastAsia="Arial" w:hAnsi="Arial"/>
          <w:sz w:val="20"/>
          <w:szCs w:val="20"/>
        </w:rPr>
        <w:t xml:space="preserve">Prevent unauthorised cross-family visibility.</w:t>
      </w:r>
    </w:p>
    <w:p>
      <w:pPr>
        <w:pStyle w:val="ListParagraph"/>
        <w:numPr>
          <w:ilvl w:val="0"/>
          <w:numId w:val="2"/>
        </w:numPr>
        <w:spacing w:after="60" w:line="264"/>
      </w:pPr>
      <w:r>
        <w:rPr>
          <w:rFonts w:ascii="Arial" w:cs="Arial" w:eastAsia="Arial" w:hAnsi="Arial"/>
          <w:sz w:val="20"/>
          <w:szCs w:val="20"/>
        </w:rPr>
        <w:t xml:space="preserve">Maintain media access/audit events where appropriate.</w:t>
      </w:r>
    </w:p>
    <w:p>
      <w:pPr>
        <w:pStyle w:val="ListParagraph"/>
        <w:numPr>
          <w:ilvl w:val="0"/>
          <w:numId w:val="2"/>
        </w:numPr>
        <w:spacing w:after="60" w:line="264"/>
      </w:pPr>
      <w:r>
        <w:rPr>
          <w:rFonts w:ascii="Arial" w:cs="Arial" w:eastAsia="Arial" w:hAnsi="Arial"/>
          <w:sz w:val="20"/>
          <w:szCs w:val="20"/>
        </w:rPr>
        <w:t xml:space="preserve">Apply retention and deletion rules defined by centre policy and applicable law.</w:t>
      </w:r>
    </w:p>
    <w:p>
      <w:pPr>
        <w:pStyle w:val="ListParagraph"/>
        <w:numPr>
          <w:ilvl w:val="0"/>
          <w:numId w:val="2"/>
        </w:numPr>
        <w:spacing w:after="60" w:line="264"/>
      </w:pPr>
      <w:r>
        <w:rPr>
          <w:rFonts w:ascii="Arial" w:cs="Arial" w:eastAsia="Arial" w:hAnsi="Arial"/>
          <w:sz w:val="20"/>
          <w:szCs w:val="20"/>
        </w:rPr>
        <w:t xml:space="preserve">Do not use child media for advertising or AI model training without appropriate lawful basis, consent and governance.</w:t>
      </w:r>
    </w:p>
    <w:p>
      <w:pPr>
        <w:pStyle w:val="Heading1"/>
        <w:spacing w:after="140" w:before="320"/>
      </w:pPr>
      <w:r>
        <w:rPr>
          <w:rFonts w:ascii="Arial" w:cs="Arial" w:eastAsia="Arial" w:hAnsi="Arial"/>
          <w:b/>
          <w:bCs/>
          <w:color w:val="1B3A5C"/>
          <w:sz w:val="30"/>
          <w:szCs w:val="30"/>
        </w:rPr>
        <w:t xml:space="preserve">18. Privacy, Security &amp; Compliance</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Australian data residency requirement added.</w:t>
      </w:r>
    </w:p>
    <w:p>
      <w:pPr>
        <w:pStyle w:val="ListParagraph"/>
        <w:numPr>
          <w:ilvl w:val="0"/>
          <w:numId w:val="2"/>
        </w:numPr>
        <w:spacing w:after="60" w:line="264"/>
      </w:pPr>
      <w:r>
        <w:rPr>
          <w:rFonts w:ascii="Arial" w:cs="Arial" w:eastAsia="Arial" w:hAnsi="Arial"/>
          <w:sz w:val="20"/>
          <w:szCs w:val="20"/>
        </w:rPr>
        <w:t xml:space="preserve">Design for the Australian Privacy Principles and applicable privacy obligations.</w:t>
      </w:r>
    </w:p>
    <w:p>
      <w:pPr>
        <w:pStyle w:val="ListParagraph"/>
        <w:numPr>
          <w:ilvl w:val="0"/>
          <w:numId w:val="2"/>
        </w:numPr>
        <w:spacing w:after="60" w:line="264"/>
      </w:pPr>
      <w:r>
        <w:rPr>
          <w:rFonts w:ascii="Arial" w:cs="Arial" w:eastAsia="Arial" w:hAnsi="Arial"/>
          <w:sz w:val="20"/>
          <w:szCs w:val="20"/>
        </w:rPr>
        <w:t xml:space="preserve">Prepare for requirements arising from the Australian Children's Online Privacy Code as applicable.</w:t>
      </w:r>
    </w:p>
    <w:p>
      <w:pPr>
        <w:pStyle w:val="ListParagraph"/>
        <w:numPr>
          <w:ilvl w:val="0"/>
          <w:numId w:val="2"/>
        </w:numPr>
        <w:spacing w:after="60" w:line="264"/>
      </w:pPr>
      <w:r>
        <w:rPr>
          <w:rFonts w:ascii="Arial" w:cs="Arial" w:eastAsia="Arial" w:hAnsi="Arial"/>
          <w:b/>
          <w:bCs/>
          <w:sz w:val="20"/>
          <w:szCs w:val="20"/>
        </w:rPr>
        <w:t xml:space="preserve">Data residency: </w:t>
      </w:r>
      <w:r>
        <w:rPr>
          <w:rFonts w:ascii="Arial" w:cs="Arial" w:eastAsia="Arial" w:hAnsi="Arial"/>
          <w:sz w:val="20"/>
          <w:szCs w:val="20"/>
        </w:rPr>
        <w:t xml:space="preserve">all production data, backups, media and logs containing personal information must be stored and processed in Australia (e.g. AWS ap-southeast-2, Sydney, with disaster-recovery capacity also in Australia, e.g. ap-southeast-4, Melbourne). Any third-party service processing personal information outside Australia requires documented approval and APP 8 assessment.</w:t>
      </w:r>
    </w:p>
    <w:p>
      <w:pPr>
        <w:pStyle w:val="ListParagraph"/>
        <w:numPr>
          <w:ilvl w:val="0"/>
          <w:numId w:val="2"/>
        </w:numPr>
        <w:spacing w:after="60" w:line="264"/>
      </w:pPr>
      <w:r>
        <w:rPr>
          <w:rFonts w:ascii="Arial" w:cs="Arial" w:eastAsia="Arial" w:hAnsi="Arial"/>
          <w:sz w:val="20"/>
          <w:szCs w:val="20"/>
        </w:rPr>
        <w:t xml:space="preserve">Encryption in transit and at rest.</w:t>
      </w:r>
    </w:p>
    <w:p>
      <w:pPr>
        <w:pStyle w:val="ListParagraph"/>
        <w:numPr>
          <w:ilvl w:val="0"/>
          <w:numId w:val="2"/>
        </w:numPr>
        <w:spacing w:after="60" w:line="264"/>
      </w:pPr>
      <w:r>
        <w:rPr>
          <w:rFonts w:ascii="Arial" w:cs="Arial" w:eastAsia="Arial" w:hAnsi="Arial"/>
          <w:sz w:val="20"/>
          <w:szCs w:val="20"/>
        </w:rPr>
        <w:t xml:space="preserve">Role-based access control (RBAC).</w:t>
      </w:r>
    </w:p>
    <w:p>
      <w:pPr>
        <w:pStyle w:val="ListParagraph"/>
        <w:numPr>
          <w:ilvl w:val="0"/>
          <w:numId w:val="2"/>
        </w:numPr>
        <w:spacing w:after="60" w:line="264"/>
      </w:pPr>
      <w:r>
        <w:rPr>
          <w:rFonts w:ascii="Arial" w:cs="Arial" w:eastAsia="Arial" w:hAnsi="Arial"/>
          <w:sz w:val="20"/>
          <w:szCs w:val="20"/>
        </w:rPr>
        <w:t xml:space="preserve">Least-privilege access.</w:t>
      </w:r>
    </w:p>
    <w:p>
      <w:pPr>
        <w:pStyle w:val="ListParagraph"/>
        <w:numPr>
          <w:ilvl w:val="0"/>
          <w:numId w:val="2"/>
        </w:numPr>
        <w:spacing w:after="60" w:line="264"/>
      </w:pPr>
      <w:r>
        <w:rPr>
          <w:rFonts w:ascii="Arial" w:cs="Arial" w:eastAsia="Arial" w:hAnsi="Arial"/>
          <w:sz w:val="20"/>
          <w:szCs w:val="20"/>
        </w:rPr>
        <w:t xml:space="preserve">Multi-factor authentication for privileged/admin accounts.</w:t>
      </w:r>
    </w:p>
    <w:p>
      <w:pPr>
        <w:pStyle w:val="ListParagraph"/>
        <w:numPr>
          <w:ilvl w:val="0"/>
          <w:numId w:val="2"/>
        </w:numPr>
        <w:spacing w:after="60" w:line="264"/>
      </w:pPr>
      <w:r>
        <w:rPr>
          <w:rFonts w:ascii="Arial" w:cs="Arial" w:eastAsia="Arial" w:hAnsi="Arial"/>
          <w:sz w:val="20"/>
          <w:szCs w:val="20"/>
        </w:rPr>
        <w:t xml:space="preserve">Secure password/session management.</w:t>
      </w:r>
    </w:p>
    <w:p>
      <w:pPr>
        <w:pStyle w:val="ListParagraph"/>
        <w:numPr>
          <w:ilvl w:val="0"/>
          <w:numId w:val="2"/>
        </w:numPr>
        <w:spacing w:after="60" w:line="264"/>
      </w:pPr>
      <w:r>
        <w:rPr>
          <w:rFonts w:ascii="Arial" w:cs="Arial" w:eastAsia="Arial" w:hAnsi="Arial"/>
          <w:sz w:val="20"/>
          <w:szCs w:val="20"/>
        </w:rPr>
        <w:t xml:space="preserve">Comprehensive audit logging for sensitive operations.</w:t>
      </w:r>
    </w:p>
    <w:p>
      <w:pPr>
        <w:pStyle w:val="ListParagraph"/>
        <w:numPr>
          <w:ilvl w:val="0"/>
          <w:numId w:val="2"/>
        </w:numPr>
        <w:spacing w:after="60" w:line="264"/>
      </w:pPr>
      <w:r>
        <w:rPr>
          <w:rFonts w:ascii="Arial" w:cs="Arial" w:eastAsia="Arial" w:hAnsi="Arial"/>
          <w:sz w:val="20"/>
          <w:szCs w:val="20"/>
        </w:rPr>
        <w:t xml:space="preserve">Data retention and deletion policies.</w:t>
      </w:r>
    </w:p>
    <w:p>
      <w:pPr>
        <w:pStyle w:val="ListParagraph"/>
        <w:numPr>
          <w:ilvl w:val="0"/>
          <w:numId w:val="2"/>
        </w:numPr>
        <w:spacing w:after="60" w:line="264"/>
      </w:pPr>
      <w:r>
        <w:rPr>
          <w:rFonts w:ascii="Arial" w:cs="Arial" w:eastAsia="Arial" w:hAnsi="Arial"/>
          <w:sz w:val="20"/>
          <w:szCs w:val="20"/>
        </w:rPr>
        <w:t xml:space="preserve">Data export/access mechanisms where required.</w:t>
      </w:r>
    </w:p>
    <w:p>
      <w:pPr>
        <w:pStyle w:val="ListParagraph"/>
        <w:numPr>
          <w:ilvl w:val="0"/>
          <w:numId w:val="2"/>
        </w:numPr>
        <w:spacing w:after="60" w:line="264"/>
      </w:pPr>
      <w:r>
        <w:rPr>
          <w:rFonts w:ascii="Arial" w:cs="Arial" w:eastAsia="Arial" w:hAnsi="Arial"/>
          <w:sz w:val="20"/>
          <w:szCs w:val="20"/>
        </w:rPr>
        <w:t xml:space="preserve">Tenant isolation for multi-centre environments.</w:t>
      </w:r>
    </w:p>
    <w:p>
      <w:pPr>
        <w:pStyle w:val="ListParagraph"/>
        <w:numPr>
          <w:ilvl w:val="0"/>
          <w:numId w:val="2"/>
        </w:numPr>
        <w:spacing w:after="60" w:line="264"/>
      </w:pPr>
      <w:r>
        <w:rPr>
          <w:rFonts w:ascii="Arial" w:cs="Arial" w:eastAsia="Arial" w:hAnsi="Arial"/>
          <w:sz w:val="20"/>
          <w:szCs w:val="20"/>
        </w:rPr>
        <w:t xml:space="preserve">Security monitoring, vulnerability management, backups and disaster recovery.</w:t>
      </w:r>
    </w:p>
    <w:p>
      <w:pPr>
        <w:pStyle w:val="ListParagraph"/>
        <w:numPr>
          <w:ilvl w:val="0"/>
          <w:numId w:val="2"/>
        </w:numPr>
        <w:spacing w:after="60" w:line="264"/>
      </w:pPr>
      <w:r>
        <w:rPr>
          <w:rFonts w:ascii="Arial" w:cs="Arial" w:eastAsia="Arial" w:hAnsi="Arial"/>
          <w:sz w:val="20"/>
          <w:szCs w:val="20"/>
        </w:rPr>
        <w:t xml:space="preserve">PCI-DSS scope minimised through gateway tokenisation (see §15).</w:t>
      </w:r>
    </w:p>
    <w:p>
      <w:pPr>
        <w:pStyle w:val="Heading1"/>
        <w:spacing w:after="140" w:before="320"/>
      </w:pPr>
      <w:r>
        <w:rPr>
          <w:rFonts w:ascii="Arial" w:cs="Arial" w:eastAsia="Arial" w:hAnsi="Arial"/>
          <w:b/>
          <w:bCs/>
          <w:color w:val="1B3A5C"/>
          <w:sz w:val="30"/>
          <w:szCs w:val="30"/>
        </w:rPr>
        <w:t xml:space="preserve">19. Non-Functional Requirements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Performance row completed; numeric targets marked To Be Confirmed (TBC); Data Residency row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Area</w:t>
            </w:r>
          </w:p>
        </w:tc>
        <w:tc>
          <w:tcPr>
            <w:tcW w:type="dxa" w:w="751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 / Target</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Availability</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99.9% monthly service availability for production, excluding agreed maintenance.</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Performance</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Common mobile/web actions should normally respond within 2 seconds under normal operating conditions; exceptions (e.g. large media uploads, bulk reports, invoice runs) to be defined. </w:t>
            </w:r>
            <w:r>
              <w:rPr>
                <w:rFonts w:ascii="Arial" w:cs="Arial" w:eastAsia="Arial" w:hAnsi="Arial"/>
                <w:b/>
                <w:bCs/>
                <w:color w:val="B45309"/>
                <w:sz w:val="18"/>
                <w:szCs w:val="18"/>
              </w:rPr>
              <w:t xml:space="preserve">Detailed targets (e.g. p95 API latency, app start time, concurrent users): TBC.</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critical workflows must remain usable during temporary connectivity loss.</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Scalability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Architecture should support single-centre deployment through enterprise multi-site operators.</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Security-by-design, encryption, RBAC, audit logs and secure SDLC.</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Observability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Central logging, metrics, tracing, alerting and service health monitoring.</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Backup</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Automated backups with tested restoration procedures. Backups stored in Australia.</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Disaster Recovery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Documented RPO/RTO targets. </w:t>
            </w:r>
            <w:r>
              <w:rPr>
                <w:rFonts w:ascii="Arial" w:cs="Arial" w:eastAsia="Arial" w:hAnsi="Arial"/>
                <w:b/>
                <w:bCs/>
                <w:color w:val="B45309"/>
                <w:sz w:val="18"/>
                <w:szCs w:val="18"/>
              </w:rPr>
              <w:t xml:space="preserve">RPO and RTO values: TBC.</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Accessibility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Web/mobile experience designed to a recognised accessibility standard. </w:t>
            </w:r>
            <w:r>
              <w:rPr>
                <w:rFonts w:ascii="Arial" w:cs="Arial" w:eastAsia="Arial" w:hAnsi="Arial"/>
                <w:b/>
                <w:bCs/>
                <w:color w:val="B45309"/>
                <w:sz w:val="18"/>
                <w:szCs w:val="18"/>
              </w:rPr>
              <w:t xml:space="preserve">Standard and conformance level: TBC (WCAG 2.2 AA recommended).</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Maintainability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API-first, modular architecture with automated testing and CI/CD.</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Residency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 production environments, data stores, backups and media hosted in Australian regions (see §18).</w:t>
            </w:r>
          </w:p>
        </w:tc>
      </w:tr>
    </w:tbl>
    <w:p>
      <w:pPr>
        <w:spacing w:after="80"/>
      </w:pPr>
    </w:p>
    <w:p>
      <w:pPr>
        <w:pStyle w:val="Heading1"/>
        <w:spacing w:after="140" w:before="320"/>
      </w:pPr>
      <w:r>
        <w:rPr>
          <w:rFonts w:ascii="Arial" w:cs="Arial" w:eastAsia="Arial" w:hAnsi="Arial"/>
          <w:b/>
          <w:bCs/>
          <w:color w:val="1B3A5C"/>
          <w:sz w:val="30"/>
          <w:szCs w:val="30"/>
        </w:rPr>
        <w:t xml:space="preserve">20. Suggested Technical Architecture – To Be Designed by Development Team</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Australian hosting mandated.</w:t>
      </w:r>
    </w:p>
    <w:p>
      <w:pPr>
        <w:spacing w:after="120" w:line="276"/>
      </w:pPr>
      <w:r>
        <w:rPr>
          <w:rFonts w:ascii="Arial" w:cs="Arial" w:eastAsia="Arial" w:hAnsi="Arial"/>
          <w:sz w:val="20"/>
          <w:szCs w:val="20"/>
        </w:rPr>
        <w:t xml:space="preserve">The BRD does not prescribe a particular technology stack. The selected architecture must satisfy the functional, security, scalability and compliance requirements.</w:t>
      </w:r>
    </w:p>
    <w:p>
      <w:pPr>
        <w:pStyle w:val="ListParagraph"/>
        <w:numPr>
          <w:ilvl w:val="0"/>
          <w:numId w:val="2"/>
        </w:numPr>
        <w:spacing w:after="60" w:line="264"/>
      </w:pPr>
      <w:r>
        <w:rPr>
          <w:rFonts w:ascii="Arial" w:cs="Arial" w:eastAsia="Arial" w:hAnsi="Arial"/>
          <w:sz w:val="20"/>
          <w:szCs w:val="20"/>
        </w:rPr>
        <w:t xml:space="preserve">Cloud-hosted, highly available backend in Australian cloud regions (e.g. AWS ap-southeast-2, Sydney).</w:t>
      </w:r>
    </w:p>
    <w:p>
      <w:pPr>
        <w:pStyle w:val="ListParagraph"/>
        <w:numPr>
          <w:ilvl w:val="0"/>
          <w:numId w:val="2"/>
        </w:numPr>
        <w:spacing w:after="60" w:line="264"/>
      </w:pPr>
      <w:r>
        <w:rPr>
          <w:rFonts w:ascii="Arial" w:cs="Arial" w:eastAsia="Arial" w:hAnsi="Arial"/>
          <w:sz w:val="20"/>
          <w:szCs w:val="20"/>
        </w:rPr>
        <w:t xml:space="preserve">Secure REST and/or GraphQL API layer as appropriate.</w:t>
      </w:r>
    </w:p>
    <w:p>
      <w:pPr>
        <w:pStyle w:val="ListParagraph"/>
        <w:numPr>
          <w:ilvl w:val="0"/>
          <w:numId w:val="2"/>
        </w:numPr>
        <w:spacing w:after="60" w:line="264"/>
      </w:pPr>
      <w:r>
        <w:rPr>
          <w:rFonts w:ascii="Arial" w:cs="Arial" w:eastAsia="Arial" w:hAnsi="Arial"/>
          <w:sz w:val="20"/>
          <w:szCs w:val="20"/>
        </w:rPr>
        <w:t xml:space="preserve">Relational transactional data store with appropriate object/media storage.</w:t>
      </w:r>
    </w:p>
    <w:p>
      <w:pPr>
        <w:pStyle w:val="ListParagraph"/>
        <w:numPr>
          <w:ilvl w:val="0"/>
          <w:numId w:val="2"/>
        </w:numPr>
        <w:spacing w:after="60" w:line="264"/>
      </w:pPr>
      <w:r>
        <w:rPr>
          <w:rFonts w:ascii="Arial" w:cs="Arial" w:eastAsia="Arial" w:hAnsi="Arial"/>
          <w:sz w:val="20"/>
          <w:szCs w:val="20"/>
        </w:rPr>
        <w:t xml:space="preserve">Event/queue architecture for notifications and asynchronous processing where useful.</w:t>
      </w:r>
    </w:p>
    <w:p>
      <w:pPr>
        <w:pStyle w:val="ListParagraph"/>
        <w:numPr>
          <w:ilvl w:val="0"/>
          <w:numId w:val="2"/>
        </w:numPr>
        <w:spacing w:after="60" w:line="264"/>
      </w:pPr>
      <w:r>
        <w:rPr>
          <w:rFonts w:ascii="Arial" w:cs="Arial" w:eastAsia="Arial" w:hAnsi="Arial"/>
          <w:sz w:val="20"/>
          <w:szCs w:val="20"/>
        </w:rPr>
        <w:t xml:space="preserve">Mobile applications for iOS and Android, with shared codebase considered where it does not compromise platform quality.</w:t>
      </w:r>
    </w:p>
    <w:p>
      <w:pPr>
        <w:pStyle w:val="ListParagraph"/>
        <w:numPr>
          <w:ilvl w:val="0"/>
          <w:numId w:val="2"/>
        </w:numPr>
        <w:spacing w:after="60" w:line="264"/>
      </w:pPr>
      <w:r>
        <w:rPr>
          <w:rFonts w:ascii="Arial" w:cs="Arial" w:eastAsia="Arial" w:hAnsi="Arial"/>
          <w:sz w:val="20"/>
          <w:szCs w:val="20"/>
        </w:rPr>
        <w:t xml:space="preserve">Responsive web portal for centre administration.</w:t>
      </w:r>
    </w:p>
    <w:p>
      <w:pPr>
        <w:pStyle w:val="ListParagraph"/>
        <w:numPr>
          <w:ilvl w:val="0"/>
          <w:numId w:val="2"/>
        </w:numPr>
        <w:spacing w:after="60" w:line="264"/>
      </w:pPr>
      <w:r>
        <w:rPr>
          <w:rFonts w:ascii="Arial" w:cs="Arial" w:eastAsia="Arial" w:hAnsi="Arial"/>
          <w:sz w:val="20"/>
          <w:szCs w:val="20"/>
        </w:rPr>
        <w:t xml:space="preserve">Central identity and access management service.</w:t>
      </w:r>
    </w:p>
    <w:p>
      <w:pPr>
        <w:pStyle w:val="ListParagraph"/>
        <w:numPr>
          <w:ilvl w:val="0"/>
          <w:numId w:val="2"/>
        </w:numPr>
        <w:spacing w:after="60" w:line="264"/>
      </w:pPr>
      <w:r>
        <w:rPr>
          <w:rFonts w:ascii="Arial" w:cs="Arial" w:eastAsia="Arial" w:hAnsi="Arial"/>
          <w:sz w:val="20"/>
          <w:szCs w:val="20"/>
        </w:rPr>
        <w:t xml:space="preserve">Monitoring, logging and alerting platform.</w:t>
      </w:r>
    </w:p>
    <w:p>
      <w:pPr>
        <w:pStyle w:val="ListParagraph"/>
        <w:numPr>
          <w:ilvl w:val="0"/>
          <w:numId w:val="2"/>
        </w:numPr>
        <w:spacing w:after="60" w:line="264"/>
      </w:pPr>
      <w:r>
        <w:rPr>
          <w:rFonts w:ascii="Arial" w:cs="Arial" w:eastAsia="Arial" w:hAnsi="Arial"/>
          <w:sz w:val="20"/>
          <w:szCs w:val="20"/>
        </w:rPr>
        <w:t xml:space="preserve">Automated CI/CD with separate development, test, staging and production environments.</w:t>
      </w:r>
    </w:p>
    <w:p>
      <w:pPr>
        <w:pStyle w:val="Heading1"/>
        <w:spacing w:after="140" w:before="320"/>
      </w:pPr>
      <w:r>
        <w:rPr>
          <w:rFonts w:ascii="Arial" w:cs="Arial" w:eastAsia="Arial" w:hAnsi="Arial"/>
          <w:b/>
          <w:bCs/>
          <w:color w:val="1B3A5C"/>
          <w:sz w:val="30"/>
          <w:szCs w:val="30"/>
        </w:rPr>
        <w:t xml:space="preserve">21. Integrations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CCS and Payments rows completed; both required for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6168"/>
        <w:gridCol w:w="1157"/>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Integration Area</w:t>
            </w:r>
          </w:p>
        </w:tc>
        <w:tc>
          <w:tcPr>
            <w:tcW w:type="dxa" w:w="616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231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 Australian Government</w:t>
            </w:r>
          </w:p>
        </w:tc>
        <w:tc>
          <w:tcPr>
            <w:tcW w:type="dxa" w:w="616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Architecture must support applicable approved/registered integration pathways and security requirements, including Services Australia third-party software registration, PRODA-based authentication and conformance testing.</w:t>
            </w:r>
          </w:p>
        </w:tc>
        <w:tc>
          <w:tcPr>
            <w:tcW w:type="dxa" w:w="1157"/>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Payments</w:t>
            </w:r>
          </w:p>
        </w:tc>
        <w:tc>
          <w:tcPr>
            <w:tcW w:type="dxa" w:w="616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gateway supporting Australian payment methods (card, BECS direct debit) and secure tokenisation, with settlement and failure reporting for reconciliation.</w:t>
            </w:r>
          </w:p>
        </w:tc>
        <w:tc>
          <w:tcPr>
            <w:tcW w:type="dxa" w:w="1157"/>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Push Notifications</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Apple/Google notification services.</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Email/SMS</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Transactional messaging provider with delivery monitoring.</w:t>
            </w:r>
          </w:p>
        </w:tc>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Identity</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authentication and optional enterprise SSO capability for future phases.</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 3</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Calendar</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Optional future integration for events/appointments.</w:t>
            </w:r>
          </w:p>
        </w:tc>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Accounting/Payroll</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 integration based on market validation. Phase 1 provides CSV exports; Phase 2 timesheet export (ROS-008).</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r>
    </w:tbl>
    <w:p>
      <w:pPr>
        <w:spacing w:after="80"/>
      </w:pPr>
    </w:p>
    <w:p>
      <w:pPr>
        <w:pStyle w:val="Heading1"/>
        <w:spacing w:after="140" w:before="320"/>
      </w:pPr>
      <w:r>
        <w:rPr>
          <w:rFonts w:ascii="Arial" w:cs="Arial" w:eastAsia="Arial" w:hAnsi="Arial"/>
          <w:b/>
          <w:bCs/>
          <w:color w:val="1B3A5C"/>
          <w:sz w:val="30"/>
          <w:szCs w:val="30"/>
        </w:rPr>
        <w:t xml:space="preserve">22. Business Rules</w:t>
      </w:r>
    </w:p>
    <w:p>
      <w:pPr>
        <w:pStyle w:val="ListParagraph"/>
        <w:numPr>
          <w:ilvl w:val="0"/>
          <w:numId w:val="2"/>
        </w:numPr>
        <w:spacing w:after="60" w:line="264"/>
      </w:pPr>
      <w:r>
        <w:rPr>
          <w:rFonts w:ascii="Arial" w:cs="Arial" w:eastAsia="Arial" w:hAnsi="Arial"/>
          <w:sz w:val="20"/>
          <w:szCs w:val="20"/>
        </w:rPr>
        <w:t xml:space="preserve">A user may only view child/family information permitted by their role and relationship.</w:t>
      </w:r>
    </w:p>
    <w:p>
      <w:pPr>
        <w:pStyle w:val="ListParagraph"/>
        <w:numPr>
          <w:ilvl w:val="0"/>
          <w:numId w:val="2"/>
        </w:numPr>
        <w:spacing w:after="60" w:line="264"/>
      </w:pPr>
      <w:r>
        <w:rPr>
          <w:rFonts w:ascii="Arial" w:cs="Arial" w:eastAsia="Arial" w:hAnsi="Arial"/>
          <w:sz w:val="20"/>
          <w:szCs w:val="20"/>
        </w:rPr>
        <w:t xml:space="preserve">Sensitive child information must not be exposed to unauthorised family members or staff.</w:t>
      </w:r>
    </w:p>
    <w:p>
      <w:pPr>
        <w:pStyle w:val="ListParagraph"/>
        <w:numPr>
          <w:ilvl w:val="0"/>
          <w:numId w:val="2"/>
        </w:numPr>
        <w:spacing w:after="60" w:line="264"/>
      </w:pPr>
      <w:r>
        <w:rPr>
          <w:rFonts w:ascii="Arial" w:cs="Arial" w:eastAsia="Arial" w:hAnsi="Arial"/>
          <w:sz w:val="20"/>
          <w:szCs w:val="20"/>
        </w:rPr>
        <w:t xml:space="preserve">Critical records must retain an audit history.</w:t>
      </w:r>
    </w:p>
    <w:p>
      <w:pPr>
        <w:pStyle w:val="ListParagraph"/>
        <w:numPr>
          <w:ilvl w:val="0"/>
          <w:numId w:val="2"/>
        </w:numPr>
        <w:spacing w:after="60" w:line="264"/>
      </w:pPr>
      <w:r>
        <w:rPr>
          <w:rFonts w:ascii="Arial" w:cs="Arial" w:eastAsia="Arial" w:hAnsi="Arial"/>
          <w:sz w:val="20"/>
          <w:szCs w:val="20"/>
        </w:rPr>
        <w:t xml:space="preserve">Deleted/changed records must follow defined retention and audit rules.</w:t>
      </w:r>
    </w:p>
    <w:p>
      <w:pPr>
        <w:pStyle w:val="ListParagraph"/>
        <w:numPr>
          <w:ilvl w:val="0"/>
          <w:numId w:val="2"/>
        </w:numPr>
        <w:spacing w:after="60" w:line="264"/>
      </w:pPr>
      <w:r>
        <w:rPr>
          <w:rFonts w:ascii="Arial" w:cs="Arial" w:eastAsia="Arial" w:hAnsi="Arial"/>
          <w:sz w:val="20"/>
          <w:szCs w:val="20"/>
        </w:rPr>
        <w:t xml:space="preserve">AI-generated content must be identifiable internally as AI-assisted and require appropriate human approval before becoming an official record.</w:t>
      </w:r>
    </w:p>
    <w:p>
      <w:pPr>
        <w:pStyle w:val="ListParagraph"/>
        <w:numPr>
          <w:ilvl w:val="0"/>
          <w:numId w:val="2"/>
        </w:numPr>
        <w:spacing w:after="60" w:line="264"/>
      </w:pPr>
      <w:r>
        <w:rPr>
          <w:rFonts w:ascii="Arial" w:cs="Arial" w:eastAsia="Arial" w:hAnsi="Arial"/>
          <w:sz w:val="20"/>
          <w:szCs w:val="20"/>
        </w:rPr>
        <w:t xml:space="preserve">Centre administrators control configurable workflows within defined system limits.</w:t>
      </w:r>
    </w:p>
    <w:p>
      <w:pPr>
        <w:pStyle w:val="ListParagraph"/>
        <w:numPr>
          <w:ilvl w:val="0"/>
          <w:numId w:val="2"/>
        </w:numPr>
        <w:spacing w:after="60" w:line="264"/>
      </w:pPr>
      <w:r>
        <w:rPr>
          <w:rFonts w:ascii="Arial" w:cs="Arial" w:eastAsia="Arial" w:hAnsi="Arial"/>
          <w:sz w:val="20"/>
          <w:szCs w:val="20"/>
        </w:rPr>
        <w:t xml:space="preserve">Government/third-party source information must be distinguished from platform-generated estimates.</w:t>
      </w:r>
    </w:p>
    <w:p>
      <w:pPr>
        <w:pStyle w:val="ListParagraph"/>
        <w:numPr>
          <w:ilvl w:val="0"/>
          <w:numId w:val="2"/>
        </w:numPr>
        <w:spacing w:after="60" w:line="264"/>
      </w:pPr>
      <w:r>
        <w:rPr>
          <w:rFonts w:ascii="Arial" w:cs="Arial" w:eastAsia="Arial" w:hAnsi="Arial"/>
          <w:sz w:val="20"/>
          <w:szCs w:val="20"/>
        </w:rPr>
        <w:t xml:space="preserve">Issued invoices are immutable; changes are made through credits/adjustments with audit history.</w:t>
      </w:r>
    </w:p>
    <w:p>
      <w:pPr>
        <w:pStyle w:val="ListParagraph"/>
        <w:numPr>
          <w:ilvl w:val="0"/>
          <w:numId w:val="2"/>
        </w:numPr>
        <w:spacing w:after="60" w:line="264"/>
      </w:pPr>
      <w:r>
        <w:rPr>
          <w:rFonts w:ascii="Arial" w:cs="Arial" w:eastAsia="Arial" w:hAnsi="Arial"/>
          <w:sz w:val="20"/>
          <w:szCs w:val="20"/>
        </w:rPr>
        <w:t xml:space="preserve">Ratio and qualification rules are maintained as versioned configuration; centres cannot lower regulatory minimums.</w:t>
      </w:r>
    </w:p>
    <w:p>
      <w:pPr>
        <w:pStyle w:val="Heading1"/>
        <w:spacing w:after="140" w:before="320"/>
      </w:pPr>
      <w:r>
        <w:rPr>
          <w:rFonts w:ascii="Arial" w:cs="Arial" w:eastAsia="Arial" w:hAnsi="Arial"/>
          <w:b/>
          <w:bCs/>
          <w:color w:val="1B3A5C"/>
          <w:sz w:val="30"/>
          <w:szCs w:val="30"/>
        </w:rPr>
        <w:t xml:space="preserve">23. Reporting &amp; Analytics</w:t>
      </w:r>
    </w:p>
    <w:p>
      <w:pPr>
        <w:pStyle w:val="ListParagraph"/>
        <w:numPr>
          <w:ilvl w:val="0"/>
          <w:numId w:val="2"/>
        </w:numPr>
        <w:spacing w:after="60" w:line="264"/>
      </w:pPr>
      <w:r>
        <w:rPr>
          <w:rFonts w:ascii="Arial" w:cs="Arial" w:eastAsia="Arial" w:hAnsi="Arial"/>
          <w:sz w:val="20"/>
          <w:szCs w:val="20"/>
        </w:rPr>
        <w:t xml:space="preserve">Daily attendance and occupancy.</w:t>
      </w:r>
    </w:p>
    <w:p>
      <w:pPr>
        <w:pStyle w:val="ListParagraph"/>
        <w:numPr>
          <w:ilvl w:val="0"/>
          <w:numId w:val="2"/>
        </w:numPr>
        <w:spacing w:after="60" w:line="264"/>
      </w:pPr>
      <w:r>
        <w:rPr>
          <w:rFonts w:ascii="Arial" w:cs="Arial" w:eastAsia="Arial" w:hAnsi="Arial"/>
          <w:sz w:val="20"/>
          <w:szCs w:val="20"/>
        </w:rPr>
        <w:t xml:space="preserve">Expected vs actual attendance.</w:t>
      </w:r>
    </w:p>
    <w:p>
      <w:pPr>
        <w:pStyle w:val="ListParagraph"/>
        <w:numPr>
          <w:ilvl w:val="0"/>
          <w:numId w:val="2"/>
        </w:numPr>
        <w:spacing w:after="60" w:line="264"/>
      </w:pPr>
      <w:r>
        <w:rPr>
          <w:rFonts w:ascii="Arial" w:cs="Arial" w:eastAsia="Arial" w:hAnsi="Arial"/>
          <w:sz w:val="20"/>
          <w:szCs w:val="20"/>
        </w:rPr>
        <w:t xml:space="preserve">Room and centre operational status.</w:t>
      </w:r>
    </w:p>
    <w:p>
      <w:pPr>
        <w:pStyle w:val="ListParagraph"/>
        <w:numPr>
          <w:ilvl w:val="0"/>
          <w:numId w:val="2"/>
        </w:numPr>
        <w:spacing w:after="60" w:line="264"/>
      </w:pPr>
      <w:r>
        <w:rPr>
          <w:rFonts w:ascii="Arial" w:cs="Arial" w:eastAsia="Arial" w:hAnsi="Arial"/>
          <w:sz w:val="20"/>
          <w:szCs w:val="20"/>
        </w:rPr>
        <w:t xml:space="preserve">Outstanding parent actions.</w:t>
      </w:r>
    </w:p>
    <w:p>
      <w:pPr>
        <w:pStyle w:val="ListParagraph"/>
        <w:numPr>
          <w:ilvl w:val="0"/>
          <w:numId w:val="2"/>
        </w:numPr>
        <w:spacing w:after="60" w:line="264"/>
      </w:pPr>
      <w:r>
        <w:rPr>
          <w:rFonts w:ascii="Arial" w:cs="Arial" w:eastAsia="Arial" w:hAnsi="Arial"/>
          <w:sz w:val="20"/>
          <w:szCs w:val="20"/>
        </w:rPr>
        <w:t xml:space="preserve">Medication and incident reporting.</w:t>
      </w:r>
    </w:p>
    <w:p>
      <w:pPr>
        <w:pStyle w:val="ListParagraph"/>
        <w:numPr>
          <w:ilvl w:val="0"/>
          <w:numId w:val="2"/>
        </w:numPr>
        <w:spacing w:after="60" w:line="264"/>
      </w:pPr>
      <w:r>
        <w:rPr>
          <w:rFonts w:ascii="Arial" w:cs="Arial" w:eastAsia="Arial" w:hAnsi="Arial"/>
          <w:sz w:val="20"/>
          <w:szCs w:val="20"/>
        </w:rPr>
        <w:t xml:space="preserve">Billing/payment status, debtors and CCS reconciliation (Phase 1).</w:t>
      </w:r>
    </w:p>
    <w:p>
      <w:pPr>
        <w:pStyle w:val="ListParagraph"/>
        <w:numPr>
          <w:ilvl w:val="0"/>
          <w:numId w:val="2"/>
        </w:numPr>
        <w:spacing w:after="60" w:line="264"/>
      </w:pPr>
      <w:r>
        <w:rPr>
          <w:rFonts w:ascii="Arial" w:cs="Arial" w:eastAsia="Arial" w:hAnsi="Arial"/>
          <w:sz w:val="20"/>
          <w:szCs w:val="20"/>
        </w:rPr>
        <w:t xml:space="preserve">Enrolment/waitlist status.</w:t>
      </w:r>
    </w:p>
    <w:p>
      <w:pPr>
        <w:pStyle w:val="ListParagraph"/>
        <w:numPr>
          <w:ilvl w:val="0"/>
          <w:numId w:val="2"/>
        </w:numPr>
        <w:spacing w:after="60" w:line="264"/>
      </w:pPr>
      <w:r>
        <w:rPr>
          <w:rFonts w:ascii="Arial" w:cs="Arial" w:eastAsia="Arial" w:hAnsi="Arial"/>
          <w:sz w:val="20"/>
          <w:szCs w:val="20"/>
        </w:rPr>
        <w:t xml:space="preserve">Learning documentation activity.</w:t>
      </w:r>
    </w:p>
    <w:p>
      <w:pPr>
        <w:pStyle w:val="ListParagraph"/>
        <w:numPr>
          <w:ilvl w:val="0"/>
          <w:numId w:val="2"/>
        </w:numPr>
        <w:spacing w:after="60" w:line="264"/>
      </w:pPr>
      <w:r>
        <w:rPr>
          <w:rFonts w:ascii="Arial" w:cs="Arial" w:eastAsia="Arial" w:hAnsi="Arial"/>
          <w:sz w:val="20"/>
          <w:szCs w:val="20"/>
        </w:rPr>
        <w:t xml:space="preserve">Staff/qualification expiry alerts.</w:t>
      </w:r>
    </w:p>
    <w:p>
      <w:pPr>
        <w:pStyle w:val="ListParagraph"/>
        <w:numPr>
          <w:ilvl w:val="0"/>
          <w:numId w:val="2"/>
        </w:numPr>
        <w:spacing w:after="60" w:line="264"/>
      </w:pPr>
      <w:r>
        <w:rPr>
          <w:rFonts w:ascii="Arial" w:cs="Arial" w:eastAsia="Arial" w:hAnsi="Arial"/>
          <w:sz w:val="20"/>
          <w:szCs w:val="20"/>
        </w:rPr>
        <w:t xml:space="preserve">Ratio compliance history and roster vs actual (Phase 2).</w:t>
      </w:r>
    </w:p>
    <w:p>
      <w:pPr>
        <w:pStyle w:val="ListParagraph"/>
        <w:numPr>
          <w:ilvl w:val="0"/>
          <w:numId w:val="2"/>
        </w:numPr>
        <w:spacing w:after="60" w:line="264"/>
      </w:pPr>
      <w:r>
        <w:rPr>
          <w:rFonts w:ascii="Arial" w:cs="Arial" w:eastAsia="Arial" w:hAnsi="Arial"/>
          <w:sz w:val="20"/>
          <w:szCs w:val="20"/>
        </w:rPr>
        <w:t xml:space="preserve">Enterprise multi-centre reporting in later phases.</w:t>
      </w:r>
    </w:p>
    <w:p>
      <w:pPr>
        <w:pStyle w:val="Heading1"/>
        <w:spacing w:after="140" w:before="320"/>
      </w:pPr>
      <w:r>
        <w:rPr>
          <w:rFonts w:ascii="Arial" w:cs="Arial" w:eastAsia="Arial" w:hAnsi="Arial"/>
          <w:b/>
          <w:bCs/>
          <w:color w:val="1B3A5C"/>
          <w:sz w:val="30"/>
          <w:szCs w:val="30"/>
        </w:rPr>
        <w:t xml:space="preserve">24. MVP Scope &amp; Delivery Roadmap</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Truncated rows completed; billing, payments and CCS moved to Phase 1; data migration excluded from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c>
          <w:tcPr>
            <w:tcW w:type="dxa" w:w="790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Primary Capabilities</w:t>
            </w:r>
          </w:p>
        </w:tc>
      </w:tr>
      <w:tr>
        <w:trPr>
          <w:cantSplit/>
        </w:trPr>
        <w:tc>
          <w:tcPr>
            <w:tcW w:type="dxa" w:w="1735"/>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MVP / Phase 1</w:t>
            </w:r>
          </w:p>
        </w:tc>
        <w:tc>
          <w:tcPr>
            <w:tcW w:type="dxa" w:w="790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app, educator app, centre portal, child/family/room management, attendance and sign-in/out, daily care records, photos/media, messaging and categorised notifications, digital forms, medication and incident workflows, full billing and payments, CCS integration, offline-first educator workflows, identity/RBAC/audit, core operational and finance reporting. Hosted in Australia. Excludes data migration from incumbent systems.</w:t>
            </w:r>
          </w:p>
        </w:tc>
      </w:tr>
      <w:tr>
        <w:trPr>
          <w:cantSplit/>
        </w:trPr>
        <w:tc>
          <w:tcPr>
            <w:tcW w:type="dxa" w:w="1735"/>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2</w:t>
            </w:r>
          </w:p>
        </w:tc>
        <w:tc>
          <w:tcPr>
            <w:tcW w:type="dxa" w:w="790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Learning/EYLF workflows, enrolment and waitlist, rostering, educator-to-child ratios (§13A), staff compliance, advanced reporting and dashboards.</w:t>
            </w:r>
          </w:p>
        </w:tc>
      </w:tr>
      <w:tr>
        <w:trPr>
          <w:cantSplit/>
        </w:trPr>
        <w:tc>
          <w:tcPr>
            <w:tcW w:type="dxa" w:w="173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3</w:t>
            </w:r>
          </w:p>
        </w:tc>
        <w:tc>
          <w:tcPr>
            <w:tcW w:type="dxa" w:w="790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assistant, AI documentation assistance, advanced analytics, multilingual intelligence, workforce optimisation, enterprise multi-site features and SSO.</w:t>
            </w:r>
          </w:p>
        </w:tc>
      </w:tr>
    </w:tbl>
    <w:p>
      <w:pPr>
        <w:spacing w:after="80"/>
      </w:pPr>
    </w:p>
    <w:p>
      <w:pPr>
        <w:spacing w:after="120" w:line="276"/>
      </w:pPr>
      <w:r>
        <w:rPr>
          <w:rFonts w:ascii="Arial" w:cs="Arial" w:eastAsia="Arial" w:hAnsi="Arial"/>
          <w:i/>
          <w:iCs/>
          <w:color w:val="5A6472"/>
          <w:sz w:val="18"/>
          <w:szCs w:val="18"/>
        </w:rPr>
        <w:t xml:space="preserve">Note: EDU-004 and EDU-005 (observations and EYLF documentation) are marked Must, but learning workflows are Phase 2. Confirm whether a basic observation capture is required in Phase 1 (see Appendix C).</w:t>
      </w:r>
    </w:p>
    <w:p>
      <w:pPr>
        <w:pStyle w:val="Heading1"/>
        <w:spacing w:after="140" w:before="320"/>
      </w:pPr>
      <w:r>
        <w:rPr>
          <w:rFonts w:ascii="Arial" w:cs="Arial" w:eastAsia="Arial" w:hAnsi="Arial"/>
          <w:b/>
          <w:bCs/>
          <w:color w:val="1B3A5C"/>
          <w:sz w:val="30"/>
          <w:szCs w:val="30"/>
        </w:rPr>
        <w:t xml:space="preserve">25. Success Metrics /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Metric</w:t>
            </w:r>
          </w:p>
        </w:tc>
        <w:tc>
          <w:tcPr>
            <w:tcW w:type="dxa" w:w="626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Target / Direction</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documentation time</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≥40% reduction against agreed baseline.</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task completion</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90%+ of common parent tasks completed without support.</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information discoverability</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today's key child information visible within 10 seconds.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 availability</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≥99.9% monthly target for production.</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Critical notification delivery</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 successful delivery target, subject to device/network limitations.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engagement</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≥80% monthly active parent users after onboarding period.</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 satisfaction</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≥4.6/5 store rating, supported by in-product usability metrics.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discrepancies</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Zero unexplained platform-attributable calculation/data-processing defects.</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Reduction in avoidable support tickets through improved UX and self-service.</w:t>
            </w:r>
          </w:p>
        </w:tc>
      </w:tr>
    </w:tbl>
    <w:p>
      <w:pPr>
        <w:spacing w:after="80"/>
      </w:pPr>
    </w:p>
    <w:p>
      <w:pPr>
        <w:pStyle w:val="Heading1"/>
        <w:spacing w:after="140" w:before="320"/>
      </w:pPr>
      <w:r>
        <w:rPr>
          <w:rFonts w:ascii="Arial" w:cs="Arial" w:eastAsia="Arial" w:hAnsi="Arial"/>
          <w:b/>
          <w:bCs/>
          <w:color w:val="1B3A5C"/>
          <w:sz w:val="30"/>
          <w:szCs w:val="30"/>
        </w:rPr>
        <w:t xml:space="preserve">26. Acceptance Criteria – High Level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Billing and ratio criteria added.</w:t>
      </w:r>
    </w:p>
    <w:p>
      <w:pPr>
        <w:pStyle w:val="ListParagraph"/>
        <w:numPr>
          <w:ilvl w:val="0"/>
          <w:numId w:val="2"/>
        </w:numPr>
        <w:spacing w:after="60" w:line="264"/>
      </w:pPr>
      <w:r>
        <w:rPr>
          <w:rFonts w:ascii="Arial" w:cs="Arial" w:eastAsia="Arial" w:hAnsi="Arial"/>
          <w:sz w:val="20"/>
          <w:szCs w:val="20"/>
        </w:rPr>
        <w:t xml:space="preserve">Parent can securely log in and immediately see authorised child information.</w:t>
      </w:r>
    </w:p>
    <w:p>
      <w:pPr>
        <w:pStyle w:val="ListParagraph"/>
        <w:numPr>
          <w:ilvl w:val="0"/>
          <w:numId w:val="2"/>
        </w:numPr>
        <w:spacing w:after="60" w:line="264"/>
      </w:pPr>
      <w:r>
        <w:rPr>
          <w:rFonts w:ascii="Arial" w:cs="Arial" w:eastAsia="Arial" w:hAnsi="Arial"/>
          <w:sz w:val="20"/>
          <w:szCs w:val="20"/>
        </w:rPr>
        <w:t xml:space="preserve">Educator can record routine care events in a minimal number of interactions.</w:t>
      </w:r>
    </w:p>
    <w:p>
      <w:pPr>
        <w:pStyle w:val="ListParagraph"/>
        <w:numPr>
          <w:ilvl w:val="0"/>
          <w:numId w:val="2"/>
        </w:numPr>
        <w:spacing w:after="60" w:line="264"/>
      </w:pPr>
      <w:r>
        <w:rPr>
          <w:rFonts w:ascii="Arial" w:cs="Arial" w:eastAsia="Arial" w:hAnsi="Arial"/>
          <w:sz w:val="20"/>
          <w:szCs w:val="20"/>
        </w:rPr>
        <w:t xml:space="preserve">Educator can continue critical data entry when temporarily offline.</w:t>
      </w:r>
    </w:p>
    <w:p>
      <w:pPr>
        <w:pStyle w:val="ListParagraph"/>
        <w:numPr>
          <w:ilvl w:val="0"/>
          <w:numId w:val="2"/>
        </w:numPr>
        <w:spacing w:after="60" w:line="264"/>
      </w:pPr>
      <w:r>
        <w:rPr>
          <w:rFonts w:ascii="Arial" w:cs="Arial" w:eastAsia="Arial" w:hAnsi="Arial"/>
          <w:sz w:val="20"/>
          <w:szCs w:val="20"/>
        </w:rPr>
        <w:t xml:space="preserve">Synchronisation preserves timestamps, authorship and audit history.</w:t>
      </w:r>
    </w:p>
    <w:p>
      <w:pPr>
        <w:pStyle w:val="ListParagraph"/>
        <w:numPr>
          <w:ilvl w:val="0"/>
          <w:numId w:val="2"/>
        </w:numPr>
        <w:spacing w:after="60" w:line="264"/>
      </w:pPr>
      <w:r>
        <w:rPr>
          <w:rFonts w:ascii="Arial" w:cs="Arial" w:eastAsia="Arial" w:hAnsi="Arial"/>
          <w:sz w:val="20"/>
          <w:szCs w:val="20"/>
        </w:rPr>
        <w:t xml:space="preserve">Unauthorised users cannot access child records or media.</w:t>
      </w:r>
    </w:p>
    <w:p>
      <w:pPr>
        <w:pStyle w:val="ListParagraph"/>
        <w:numPr>
          <w:ilvl w:val="0"/>
          <w:numId w:val="2"/>
        </w:numPr>
        <w:spacing w:after="60" w:line="264"/>
      </w:pPr>
      <w:r>
        <w:rPr>
          <w:rFonts w:ascii="Arial" w:cs="Arial" w:eastAsia="Arial" w:hAnsi="Arial"/>
          <w:sz w:val="20"/>
          <w:szCs w:val="20"/>
        </w:rPr>
        <w:t xml:space="preserve">Parent receives configured notifications for critical and routine events.</w:t>
      </w:r>
    </w:p>
    <w:p>
      <w:pPr>
        <w:pStyle w:val="ListParagraph"/>
        <w:numPr>
          <w:ilvl w:val="0"/>
          <w:numId w:val="2"/>
        </w:numPr>
        <w:spacing w:after="60" w:line="264"/>
      </w:pPr>
      <w:r>
        <w:rPr>
          <w:rFonts w:ascii="Arial" w:cs="Arial" w:eastAsia="Arial" w:hAnsi="Arial"/>
          <w:sz w:val="20"/>
          <w:szCs w:val="20"/>
        </w:rPr>
        <w:t xml:space="preserve">Centre can view current attendance and operational status.</w:t>
      </w:r>
    </w:p>
    <w:p>
      <w:pPr>
        <w:pStyle w:val="ListParagraph"/>
        <w:numPr>
          <w:ilvl w:val="0"/>
          <w:numId w:val="2"/>
        </w:numPr>
        <w:spacing w:after="60" w:line="264"/>
      </w:pPr>
      <w:r>
        <w:rPr>
          <w:rFonts w:ascii="Arial" w:cs="Arial" w:eastAsia="Arial" w:hAnsi="Arial"/>
          <w:sz w:val="20"/>
          <w:szCs w:val="20"/>
        </w:rPr>
        <w:t xml:space="preserve">Medication and incident workflows provide appropriate audit trails.</w:t>
      </w:r>
    </w:p>
    <w:p>
      <w:pPr>
        <w:pStyle w:val="ListParagraph"/>
        <w:numPr>
          <w:ilvl w:val="0"/>
          <w:numId w:val="2"/>
        </w:numPr>
        <w:spacing w:after="60" w:line="264"/>
      </w:pPr>
      <w:r>
        <w:rPr>
          <w:rFonts w:ascii="Arial" w:cs="Arial" w:eastAsia="Arial" w:hAnsi="Arial"/>
          <w:sz w:val="20"/>
          <w:szCs w:val="20"/>
        </w:rPr>
        <w:t xml:space="preserve">Billing information is clearly separated into platform-calculated/estimated and externally confirmed information.</w:t>
      </w:r>
    </w:p>
    <w:p>
      <w:pPr>
        <w:pStyle w:val="ListParagraph"/>
        <w:numPr>
          <w:ilvl w:val="0"/>
          <w:numId w:val="2"/>
        </w:numPr>
        <w:spacing w:after="60" w:line="264"/>
      </w:pPr>
      <w:r>
        <w:rPr>
          <w:rFonts w:ascii="Arial" w:cs="Arial" w:eastAsia="Arial" w:hAnsi="Arial"/>
          <w:sz w:val="20"/>
          <w:szCs w:val="20"/>
        </w:rPr>
        <w:t xml:space="preserve">Centre can run a full billing cycle end to end: fees → invoices → CCS submission → payment collection → reconciliation.</w:t>
      </w:r>
    </w:p>
    <w:p>
      <w:pPr>
        <w:pStyle w:val="ListParagraph"/>
        <w:numPr>
          <w:ilvl w:val="0"/>
          <w:numId w:val="2"/>
        </w:numPr>
        <w:spacing w:after="60" w:line="264"/>
      </w:pPr>
      <w:r>
        <w:rPr>
          <w:rFonts w:ascii="Arial" w:cs="Arial" w:eastAsia="Arial" w:hAnsi="Arial"/>
          <w:sz w:val="20"/>
          <w:szCs w:val="20"/>
        </w:rPr>
        <w:t xml:space="preserve">Parent can view an explainable invoice and pay in-app.</w:t>
      </w:r>
    </w:p>
    <w:p>
      <w:pPr>
        <w:pStyle w:val="ListParagraph"/>
        <w:numPr>
          <w:ilvl w:val="0"/>
          <w:numId w:val="2"/>
        </w:numPr>
        <w:spacing w:after="60" w:line="264"/>
      </w:pPr>
      <w:r>
        <w:rPr>
          <w:rFonts w:ascii="Arial" w:cs="Arial" w:eastAsia="Arial" w:hAnsi="Arial"/>
          <w:sz w:val="20"/>
          <w:szCs w:val="20"/>
        </w:rPr>
        <w:t xml:space="preserve">(Phase 2) Centre can see live and historical educator-to-child ratio compliance and publish a ratio-validated roster.</w:t>
      </w:r>
    </w:p>
    <w:p>
      <w:pPr>
        <w:pStyle w:val="ListParagraph"/>
        <w:numPr>
          <w:ilvl w:val="0"/>
          <w:numId w:val="2"/>
        </w:numPr>
        <w:spacing w:after="60" w:line="264"/>
      </w:pPr>
      <w:r>
        <w:rPr>
          <w:rFonts w:ascii="Arial" w:cs="Arial" w:eastAsia="Arial" w:hAnsi="Arial"/>
          <w:sz w:val="20"/>
          <w:szCs w:val="20"/>
        </w:rPr>
        <w:t xml:space="preserve">The system provides adequate monitoring and logging to investigate failed notifications, sync issues and data-processing errors.</w:t>
      </w:r>
    </w:p>
    <w:p>
      <w:pPr>
        <w:pStyle w:val="Heading1"/>
        <w:spacing w:after="140" w:before="320"/>
      </w:pPr>
      <w:r>
        <w:rPr>
          <w:rFonts w:ascii="Arial" w:cs="Arial" w:eastAsia="Arial" w:hAnsi="Arial"/>
          <w:b/>
          <w:bCs/>
          <w:color w:val="1B3A5C"/>
          <w:sz w:val="30"/>
          <w:szCs w:val="30"/>
        </w:rPr>
        <w:t xml:space="preserve">27. Risks &amp; Mitigations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Truncated mitigations completed; CCS timeline and ratio-rule risks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4626"/>
      </w:tblGrid>
      <w:tr>
        <w:trPr>
          <w:tblHeader/>
        </w:trPr>
        <w:tc>
          <w:tcPr>
            <w:tcW w:type="dxa" w:w="250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Risk</w:t>
            </w:r>
          </w:p>
        </w:tc>
        <w:tc>
          <w:tcPr>
            <w:tcW w:type="dxa" w:w="250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Potential Impact</w:t>
            </w:r>
          </w:p>
        </w:tc>
        <w:tc>
          <w:tcPr>
            <w:tcW w:type="dxa" w:w="462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Mitigation</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Regulatory/CCS complexity</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Delayed integration or compliance issues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Early technical/regulatory discovery; dedicated integration workstream; early engagement with Department of Education and Services Australia.</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registration on Phase 1 critical path</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1 go-live delayed because billing cannot finalise gap fees</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Start third-party software registration in discovery; plan conformance testing into the schedule; evaluate partnering with an already-registered provider as contingency.</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Sensitive child data breach</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Severe privacy/safety impact</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Security-by-design, encryption, RBAC, audit, testing, Australian hosting and incident response planning.</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Payment/billing errors</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Loss of family trust; financial loss</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Ledger-based design, golden-case calculation tests, reconciliation dashboards and immutable invoices.</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or outdated ratio rules</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 breach not detected</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Rules as versioned configuration; validation against ACECQA calculator; regulatory change monitoring.</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Overly complex UX</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Low adoption by educators/parents</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User testing, task-based UX metrics and iterative design.</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 sync conflicts</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records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Conflict strategy, idempotency, timestamps and audit history.</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hallucination/inaccurate suggestions</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learning/admin records</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Human approval, guardrails, source grounding and audit.</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 overload</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Parents miss critical events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classification and digest controls.</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Large MVP scope (increased by billing/CCS)</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Cost/time overrun</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Phased delivery with strict MVP boundary; migration and learning workflows deferred.</w:t>
            </w:r>
          </w:p>
        </w:tc>
      </w:tr>
    </w:tbl>
    <w:p>
      <w:pPr>
        <w:spacing w:after="80"/>
      </w:pPr>
    </w:p>
    <w:p>
      <w:pPr>
        <w:pStyle w:val="Heading1"/>
        <w:spacing w:after="140" w:before="320"/>
      </w:pPr>
      <w:r>
        <w:rPr>
          <w:rFonts w:ascii="Arial" w:cs="Arial" w:eastAsia="Arial" w:hAnsi="Arial"/>
          <w:b/>
          <w:bCs/>
          <w:color w:val="1B3A5C"/>
          <w:sz w:val="30"/>
          <w:szCs w:val="30"/>
        </w:rPr>
        <w:t xml:space="preserve">28. Research &amp; Product Validation Requirements</w:t>
      </w:r>
    </w:p>
    <w:p>
      <w:pPr>
        <w:spacing w:after="120" w:line="276"/>
      </w:pPr>
      <w:r>
        <w:rPr>
          <w:rFonts w:ascii="Arial" w:cs="Arial" w:eastAsia="Arial" w:hAnsi="Arial"/>
          <w:sz w:val="20"/>
          <w:szCs w:val="20"/>
        </w:rPr>
        <w:t xml:space="preserve">Competitor app-store reviews are useful signals but are not a representative sample of the Australian childcare market. Before development is locked, the product team should conduct structured discovery with real users.</w:t>
      </w:r>
    </w:p>
    <w:p>
      <w:pPr>
        <w:pStyle w:val="ListParagraph"/>
        <w:numPr>
          <w:ilvl w:val="0"/>
          <w:numId w:val="2"/>
        </w:numPr>
        <w:spacing w:after="60" w:line="264"/>
      </w:pPr>
      <w:r>
        <w:rPr>
          <w:rFonts w:ascii="Arial" w:cs="Arial" w:eastAsia="Arial" w:hAnsi="Arial"/>
          <w:sz w:val="20"/>
          <w:szCs w:val="20"/>
        </w:rPr>
        <w:t xml:space="preserve">Interview at least 5–10 centre directors/operators.</w:t>
      </w:r>
    </w:p>
    <w:p>
      <w:pPr>
        <w:pStyle w:val="ListParagraph"/>
        <w:numPr>
          <w:ilvl w:val="0"/>
          <w:numId w:val="2"/>
        </w:numPr>
        <w:spacing w:after="60" w:line="264"/>
      </w:pPr>
      <w:r>
        <w:rPr>
          <w:rFonts w:ascii="Arial" w:cs="Arial" w:eastAsia="Arial" w:hAnsi="Arial"/>
          <w:sz w:val="20"/>
          <w:szCs w:val="20"/>
        </w:rPr>
        <w:t xml:space="preserve">Interview at least 10 educators across different room types.</w:t>
      </w:r>
    </w:p>
    <w:p>
      <w:pPr>
        <w:pStyle w:val="ListParagraph"/>
        <w:numPr>
          <w:ilvl w:val="0"/>
          <w:numId w:val="2"/>
        </w:numPr>
        <w:spacing w:after="60" w:line="264"/>
      </w:pPr>
      <w:r>
        <w:rPr>
          <w:rFonts w:ascii="Arial" w:cs="Arial" w:eastAsia="Arial" w:hAnsi="Arial"/>
          <w:sz w:val="20"/>
          <w:szCs w:val="20"/>
        </w:rPr>
        <w:t xml:space="preserve">Interview at least 10 parents/guardians.</w:t>
      </w:r>
    </w:p>
    <w:p>
      <w:pPr>
        <w:pStyle w:val="ListParagraph"/>
        <w:numPr>
          <w:ilvl w:val="0"/>
          <w:numId w:val="2"/>
        </w:numPr>
        <w:spacing w:after="60" w:line="264"/>
      </w:pPr>
      <w:r>
        <w:rPr>
          <w:rFonts w:ascii="Arial" w:cs="Arial" w:eastAsia="Arial" w:hAnsi="Arial"/>
          <w:sz w:val="20"/>
          <w:szCs w:val="20"/>
        </w:rPr>
        <w:t xml:space="preserve">Observe current attendance and daily-record workflows where permission is available.</w:t>
      </w:r>
    </w:p>
    <w:p>
      <w:pPr>
        <w:pStyle w:val="ListParagraph"/>
        <w:numPr>
          <w:ilvl w:val="0"/>
          <w:numId w:val="2"/>
        </w:numPr>
        <w:spacing w:after="60" w:line="264"/>
      </w:pPr>
      <w:r>
        <w:rPr>
          <w:rFonts w:ascii="Arial" w:cs="Arial" w:eastAsia="Arial" w:hAnsi="Arial"/>
          <w:sz w:val="20"/>
          <w:szCs w:val="20"/>
        </w:rPr>
        <w:t xml:space="preserve">Map current billing/CCS workflows with a knowledgeable centre administrator.</w:t>
      </w:r>
    </w:p>
    <w:p>
      <w:pPr>
        <w:pStyle w:val="ListParagraph"/>
        <w:numPr>
          <w:ilvl w:val="0"/>
          <w:numId w:val="2"/>
        </w:numPr>
        <w:spacing w:after="60" w:line="264"/>
      </w:pPr>
      <w:r>
        <w:rPr>
          <w:rFonts w:ascii="Arial" w:cs="Arial" w:eastAsia="Arial" w:hAnsi="Arial"/>
          <w:sz w:val="20"/>
          <w:szCs w:val="20"/>
        </w:rPr>
        <w:t xml:space="preserve">Map current rostering and ratio-monitoring practice with centre directors.</w:t>
      </w:r>
    </w:p>
    <w:p>
      <w:pPr>
        <w:pStyle w:val="ListParagraph"/>
        <w:numPr>
          <w:ilvl w:val="0"/>
          <w:numId w:val="2"/>
        </w:numPr>
        <w:spacing w:after="60" w:line="264"/>
      </w:pPr>
      <w:r>
        <w:rPr>
          <w:rFonts w:ascii="Arial" w:cs="Arial" w:eastAsia="Arial" w:hAnsi="Arial"/>
          <w:sz w:val="20"/>
          <w:szCs w:val="20"/>
        </w:rPr>
        <w:t xml:space="preserve">Test clickable prototypes before engineering major workflows.</w:t>
      </w:r>
    </w:p>
    <w:p>
      <w:pPr>
        <w:pStyle w:val="ListParagraph"/>
        <w:numPr>
          <w:ilvl w:val="0"/>
          <w:numId w:val="2"/>
        </w:numPr>
        <w:spacing w:after="60" w:line="264"/>
      </w:pPr>
      <w:r>
        <w:rPr>
          <w:rFonts w:ascii="Arial" w:cs="Arial" w:eastAsia="Arial" w:hAnsi="Arial"/>
          <w:sz w:val="20"/>
          <w:szCs w:val="20"/>
        </w:rPr>
        <w:t xml:space="preserve">Validate MVP scope against willingness-to-pay and operational priorities.</w:t>
      </w:r>
    </w:p>
    <w:p>
      <w:pPr>
        <w:pStyle w:val="Heading1"/>
        <w:spacing w:after="140" w:before="320"/>
      </w:pPr>
      <w:r>
        <w:rPr>
          <w:rFonts w:ascii="Arial" w:cs="Arial" w:eastAsia="Arial" w:hAnsi="Arial"/>
          <w:b/>
          <w:bCs/>
          <w:color w:val="1B3A5C"/>
          <w:sz w:val="30"/>
          <w:szCs w:val="30"/>
        </w:rPr>
        <w:t xml:space="preserve">29. Product Design Principles</w:t>
      </w:r>
    </w:p>
    <w:p>
      <w:pPr>
        <w:pStyle w:val="ListParagraph"/>
        <w:numPr>
          <w:ilvl w:val="0"/>
          <w:numId w:val="2"/>
        </w:numPr>
        <w:spacing w:after="60" w:line="264"/>
      </w:pPr>
      <w:r>
        <w:rPr>
          <w:rFonts w:ascii="Arial" w:cs="Arial" w:eastAsia="Arial" w:hAnsi="Arial"/>
          <w:sz w:val="20"/>
          <w:szCs w:val="20"/>
        </w:rPr>
        <w:t xml:space="preserve">Child first: technology should support care rather than compete with it.</w:t>
      </w:r>
    </w:p>
    <w:p>
      <w:pPr>
        <w:pStyle w:val="ListParagraph"/>
        <w:numPr>
          <w:ilvl w:val="0"/>
          <w:numId w:val="2"/>
        </w:numPr>
        <w:spacing w:after="60" w:line="264"/>
      </w:pPr>
      <w:r>
        <w:rPr>
          <w:rFonts w:ascii="Arial" w:cs="Arial" w:eastAsia="Arial" w:hAnsi="Arial"/>
          <w:sz w:val="20"/>
          <w:szCs w:val="20"/>
        </w:rPr>
        <w:t xml:space="preserve">One task, one obvious action: minimise cognitive load.</w:t>
      </w:r>
    </w:p>
    <w:p>
      <w:pPr>
        <w:pStyle w:val="ListParagraph"/>
        <w:numPr>
          <w:ilvl w:val="0"/>
          <w:numId w:val="2"/>
        </w:numPr>
        <w:spacing w:after="60" w:line="264"/>
      </w:pPr>
      <w:r>
        <w:rPr>
          <w:rFonts w:ascii="Arial" w:cs="Arial" w:eastAsia="Arial" w:hAnsi="Arial"/>
          <w:sz w:val="20"/>
          <w:szCs w:val="20"/>
        </w:rPr>
        <w:t xml:space="preserve">Show what matters: prioritise urgent and actionable information.</w:t>
      </w:r>
    </w:p>
    <w:p>
      <w:pPr>
        <w:pStyle w:val="ListParagraph"/>
        <w:numPr>
          <w:ilvl w:val="0"/>
          <w:numId w:val="2"/>
        </w:numPr>
        <w:spacing w:after="60" w:line="264"/>
      </w:pPr>
      <w:r>
        <w:rPr>
          <w:rFonts w:ascii="Arial" w:cs="Arial" w:eastAsia="Arial" w:hAnsi="Arial"/>
          <w:sz w:val="20"/>
          <w:szCs w:val="20"/>
        </w:rPr>
        <w:t xml:space="preserve">Fast by default: common workflows should take seconds.</w:t>
      </w:r>
    </w:p>
    <w:p>
      <w:pPr>
        <w:pStyle w:val="ListParagraph"/>
        <w:numPr>
          <w:ilvl w:val="0"/>
          <w:numId w:val="2"/>
        </w:numPr>
        <w:spacing w:after="60" w:line="264"/>
      </w:pPr>
      <w:r>
        <w:rPr>
          <w:rFonts w:ascii="Arial" w:cs="Arial" w:eastAsia="Arial" w:hAnsi="Arial"/>
          <w:sz w:val="20"/>
          <w:szCs w:val="20"/>
        </w:rPr>
        <w:t xml:space="preserve">Offline by design: connectivity should not interrupt care documentation.</w:t>
      </w:r>
    </w:p>
    <w:p>
      <w:pPr>
        <w:pStyle w:val="ListParagraph"/>
        <w:numPr>
          <w:ilvl w:val="0"/>
          <w:numId w:val="2"/>
        </w:numPr>
        <w:spacing w:after="60" w:line="264"/>
      </w:pPr>
      <w:r>
        <w:rPr>
          <w:rFonts w:ascii="Arial" w:cs="Arial" w:eastAsia="Arial" w:hAnsi="Arial"/>
          <w:sz w:val="20"/>
          <w:szCs w:val="20"/>
        </w:rPr>
        <w:t xml:space="preserve">Privacy by design: collect and expose only what is necessary.</w:t>
      </w:r>
    </w:p>
    <w:p>
      <w:pPr>
        <w:pStyle w:val="ListParagraph"/>
        <w:numPr>
          <w:ilvl w:val="0"/>
          <w:numId w:val="2"/>
        </w:numPr>
        <w:spacing w:after="60" w:line="264"/>
      </w:pPr>
      <w:r>
        <w:rPr>
          <w:rFonts w:ascii="Arial" w:cs="Arial" w:eastAsia="Arial" w:hAnsi="Arial"/>
          <w:sz w:val="20"/>
          <w:szCs w:val="20"/>
        </w:rPr>
        <w:t xml:space="preserve">Human-in-the-loop AI: AI assists professionals; it does not silently make professional decisions.</w:t>
      </w:r>
    </w:p>
    <w:p>
      <w:pPr>
        <w:pStyle w:val="ListParagraph"/>
        <w:numPr>
          <w:ilvl w:val="0"/>
          <w:numId w:val="2"/>
        </w:numPr>
        <w:spacing w:after="60" w:line="264"/>
      </w:pPr>
      <w:r>
        <w:rPr>
          <w:rFonts w:ascii="Arial" w:cs="Arial" w:eastAsia="Arial" w:hAnsi="Arial"/>
          <w:sz w:val="20"/>
          <w:szCs w:val="20"/>
        </w:rPr>
        <w:t xml:space="preserve">Explainability: financial and operational outcomes should be understandable.</w:t>
      </w:r>
    </w:p>
    <w:p>
      <w:pPr>
        <w:pStyle w:val="ListParagraph"/>
        <w:numPr>
          <w:ilvl w:val="0"/>
          <w:numId w:val="2"/>
        </w:numPr>
        <w:spacing w:after="60" w:line="264"/>
      </w:pPr>
      <w:r>
        <w:rPr>
          <w:rFonts w:ascii="Arial" w:cs="Arial" w:eastAsia="Arial" w:hAnsi="Arial"/>
          <w:sz w:val="20"/>
          <w:szCs w:val="20"/>
        </w:rPr>
        <w:t xml:space="preserve">Auditability: important changes should be traceable.</w:t>
      </w:r>
    </w:p>
    <w:p>
      <w:pPr>
        <w:pStyle w:val="Heading1"/>
        <w:spacing w:after="140" w:before="320"/>
      </w:pPr>
      <w:r>
        <w:rPr>
          <w:rFonts w:ascii="Arial" w:cs="Arial" w:eastAsia="Arial" w:hAnsi="Arial"/>
          <w:b/>
          <w:bCs/>
          <w:color w:val="1B3A5C"/>
          <w:sz w:val="30"/>
          <w:szCs w:val="30"/>
        </w:rPr>
        <w:t xml:space="preserve">30. Developer Deliverables Expected</w:t>
      </w:r>
    </w:p>
    <w:p>
      <w:pPr>
        <w:pStyle w:val="ListParagraph"/>
        <w:numPr>
          <w:ilvl w:val="0"/>
          <w:numId w:val="2"/>
        </w:numPr>
        <w:spacing w:after="60" w:line="264"/>
      </w:pPr>
      <w:r>
        <w:rPr>
          <w:rFonts w:ascii="Arial" w:cs="Arial" w:eastAsia="Arial" w:hAnsi="Arial"/>
          <w:sz w:val="20"/>
          <w:szCs w:val="20"/>
        </w:rPr>
        <w:t xml:space="preserve">Solution architecture and technical design.</w:t>
      </w:r>
    </w:p>
    <w:p>
      <w:pPr>
        <w:pStyle w:val="ListParagraph"/>
        <w:numPr>
          <w:ilvl w:val="0"/>
          <w:numId w:val="2"/>
        </w:numPr>
        <w:spacing w:after="60" w:line="264"/>
      </w:pPr>
      <w:r>
        <w:rPr>
          <w:rFonts w:ascii="Arial" w:cs="Arial" w:eastAsia="Arial" w:hAnsi="Arial"/>
          <w:sz w:val="20"/>
          <w:szCs w:val="20"/>
        </w:rPr>
        <w:t xml:space="preserve">Database/data model.</w:t>
      </w:r>
    </w:p>
    <w:p>
      <w:pPr>
        <w:pStyle w:val="ListParagraph"/>
        <w:numPr>
          <w:ilvl w:val="0"/>
          <w:numId w:val="2"/>
        </w:numPr>
        <w:spacing w:after="60" w:line="264"/>
      </w:pPr>
      <w:r>
        <w:rPr>
          <w:rFonts w:ascii="Arial" w:cs="Arial" w:eastAsia="Arial" w:hAnsi="Arial"/>
          <w:sz w:val="20"/>
          <w:szCs w:val="20"/>
        </w:rPr>
        <w:t xml:space="preserve">API specification and integration design.</w:t>
      </w:r>
    </w:p>
    <w:p>
      <w:pPr>
        <w:pStyle w:val="ListParagraph"/>
        <w:numPr>
          <w:ilvl w:val="0"/>
          <w:numId w:val="2"/>
        </w:numPr>
        <w:spacing w:after="60" w:line="264"/>
      </w:pPr>
      <w:r>
        <w:rPr>
          <w:rFonts w:ascii="Arial" w:cs="Arial" w:eastAsia="Arial" w:hAnsi="Arial"/>
          <w:sz w:val="20"/>
          <w:szCs w:val="20"/>
        </w:rPr>
        <w:t xml:space="preserve">UX/UI designs and interactive prototypes.</w:t>
      </w:r>
    </w:p>
    <w:p>
      <w:pPr>
        <w:pStyle w:val="ListParagraph"/>
        <w:numPr>
          <w:ilvl w:val="0"/>
          <w:numId w:val="2"/>
        </w:numPr>
        <w:spacing w:after="60" w:line="264"/>
      </w:pPr>
      <w:r>
        <w:rPr>
          <w:rFonts w:ascii="Arial" w:cs="Arial" w:eastAsia="Arial" w:hAnsi="Arial"/>
          <w:sz w:val="20"/>
          <w:szCs w:val="20"/>
        </w:rPr>
        <w:t xml:space="preserve">Mobile applications for iOS and Android.</w:t>
      </w:r>
    </w:p>
    <w:p>
      <w:pPr>
        <w:pStyle w:val="ListParagraph"/>
        <w:numPr>
          <w:ilvl w:val="0"/>
          <w:numId w:val="2"/>
        </w:numPr>
        <w:spacing w:after="60" w:line="264"/>
      </w:pPr>
      <w:r>
        <w:rPr>
          <w:rFonts w:ascii="Arial" w:cs="Arial" w:eastAsia="Arial" w:hAnsi="Arial"/>
          <w:sz w:val="20"/>
          <w:szCs w:val="20"/>
        </w:rPr>
        <w:t xml:space="preserve">Responsive centre administration portal.</w:t>
      </w:r>
    </w:p>
    <w:p>
      <w:pPr>
        <w:pStyle w:val="ListParagraph"/>
        <w:numPr>
          <w:ilvl w:val="0"/>
          <w:numId w:val="2"/>
        </w:numPr>
        <w:spacing w:after="60" w:line="264"/>
      </w:pPr>
      <w:r>
        <w:rPr>
          <w:rFonts w:ascii="Arial" w:cs="Arial" w:eastAsia="Arial" w:hAnsi="Arial"/>
          <w:sz w:val="20"/>
          <w:szCs w:val="20"/>
        </w:rPr>
        <w:t xml:space="preserve">Backend services and infrastructure.</w:t>
      </w:r>
    </w:p>
    <w:p>
      <w:pPr>
        <w:pStyle w:val="ListParagraph"/>
        <w:numPr>
          <w:ilvl w:val="0"/>
          <w:numId w:val="2"/>
        </w:numPr>
        <w:spacing w:after="60" w:line="264"/>
      </w:pPr>
      <w:r>
        <w:rPr>
          <w:rFonts w:ascii="Arial" w:cs="Arial" w:eastAsia="Arial" w:hAnsi="Arial"/>
          <w:sz w:val="20"/>
          <w:szCs w:val="20"/>
        </w:rPr>
        <w:t xml:space="preserve">Authentication/authorisation implementation.</w:t>
      </w:r>
    </w:p>
    <w:p>
      <w:pPr>
        <w:pStyle w:val="ListParagraph"/>
        <w:numPr>
          <w:ilvl w:val="0"/>
          <w:numId w:val="2"/>
        </w:numPr>
        <w:spacing w:after="60" w:line="264"/>
      </w:pPr>
      <w:r>
        <w:rPr>
          <w:rFonts w:ascii="Arial" w:cs="Arial" w:eastAsia="Arial" w:hAnsi="Arial"/>
          <w:sz w:val="20"/>
          <w:szCs w:val="20"/>
        </w:rPr>
        <w:t xml:space="preserve">Notification and messaging services.</w:t>
      </w:r>
    </w:p>
    <w:p>
      <w:pPr>
        <w:pStyle w:val="ListParagraph"/>
        <w:numPr>
          <w:ilvl w:val="0"/>
          <w:numId w:val="2"/>
        </w:numPr>
        <w:spacing w:after="60" w:line="264"/>
      </w:pPr>
      <w:r>
        <w:rPr>
          <w:rFonts w:ascii="Arial" w:cs="Arial" w:eastAsia="Arial" w:hAnsi="Arial"/>
          <w:sz w:val="20"/>
          <w:szCs w:val="20"/>
        </w:rPr>
        <w:t xml:space="preserve">Offline-sync implementation.</w:t>
      </w:r>
    </w:p>
    <w:p>
      <w:pPr>
        <w:pStyle w:val="ListParagraph"/>
        <w:numPr>
          <w:ilvl w:val="0"/>
          <w:numId w:val="2"/>
        </w:numPr>
        <w:spacing w:after="60" w:line="264"/>
      </w:pPr>
      <w:r>
        <w:rPr>
          <w:rFonts w:ascii="Arial" w:cs="Arial" w:eastAsia="Arial" w:hAnsi="Arial"/>
          <w:sz w:val="20"/>
          <w:szCs w:val="20"/>
        </w:rPr>
        <w:t xml:space="preserve">Billing, payments and CCS integration implementation.</w:t>
      </w:r>
    </w:p>
    <w:p>
      <w:pPr>
        <w:pStyle w:val="ListParagraph"/>
        <w:numPr>
          <w:ilvl w:val="0"/>
          <w:numId w:val="2"/>
        </w:numPr>
        <w:spacing w:after="60" w:line="264"/>
      </w:pPr>
      <w:r>
        <w:rPr>
          <w:rFonts w:ascii="Arial" w:cs="Arial" w:eastAsia="Arial" w:hAnsi="Arial"/>
          <w:sz w:val="20"/>
          <w:szCs w:val="20"/>
        </w:rPr>
        <w:t xml:space="preserve">Automated unit/integration/end-to-end tests.</w:t>
      </w:r>
    </w:p>
    <w:p>
      <w:pPr>
        <w:pStyle w:val="ListParagraph"/>
        <w:numPr>
          <w:ilvl w:val="0"/>
          <w:numId w:val="2"/>
        </w:numPr>
        <w:spacing w:after="60" w:line="264"/>
      </w:pPr>
      <w:r>
        <w:rPr>
          <w:rFonts w:ascii="Arial" w:cs="Arial" w:eastAsia="Arial" w:hAnsi="Arial"/>
          <w:sz w:val="20"/>
          <w:szCs w:val="20"/>
        </w:rPr>
        <w:t xml:space="preserve">Security testing and remediation.</w:t>
      </w:r>
    </w:p>
    <w:p>
      <w:pPr>
        <w:pStyle w:val="ListParagraph"/>
        <w:numPr>
          <w:ilvl w:val="0"/>
          <w:numId w:val="2"/>
        </w:numPr>
        <w:spacing w:after="60" w:line="264"/>
      </w:pPr>
      <w:r>
        <w:rPr>
          <w:rFonts w:ascii="Arial" w:cs="Arial" w:eastAsia="Arial" w:hAnsi="Arial"/>
          <w:sz w:val="20"/>
          <w:szCs w:val="20"/>
        </w:rPr>
        <w:t xml:space="preserve">CI/CD pipelines.</w:t>
      </w:r>
    </w:p>
    <w:p>
      <w:pPr>
        <w:pStyle w:val="ListParagraph"/>
        <w:numPr>
          <w:ilvl w:val="0"/>
          <w:numId w:val="2"/>
        </w:numPr>
        <w:spacing w:after="60" w:line="264"/>
      </w:pPr>
      <w:r>
        <w:rPr>
          <w:rFonts w:ascii="Arial" w:cs="Arial" w:eastAsia="Arial" w:hAnsi="Arial"/>
          <w:sz w:val="20"/>
          <w:szCs w:val="20"/>
        </w:rPr>
        <w:t xml:space="preserve">Monitoring/logging/alerting.</w:t>
      </w:r>
    </w:p>
    <w:p>
      <w:pPr>
        <w:pStyle w:val="ListParagraph"/>
        <w:numPr>
          <w:ilvl w:val="0"/>
          <w:numId w:val="2"/>
        </w:numPr>
        <w:spacing w:after="60" w:line="264"/>
      </w:pPr>
      <w:r>
        <w:rPr>
          <w:rFonts w:ascii="Arial" w:cs="Arial" w:eastAsia="Arial" w:hAnsi="Arial"/>
          <w:sz w:val="20"/>
          <w:szCs w:val="20"/>
        </w:rPr>
        <w:t xml:space="preserve">Technical documentation and API documentation.</w:t>
      </w:r>
    </w:p>
    <w:p>
      <w:pPr>
        <w:pStyle w:val="ListParagraph"/>
        <w:numPr>
          <w:ilvl w:val="0"/>
          <w:numId w:val="2"/>
        </w:numPr>
        <w:spacing w:after="60" w:line="264"/>
      </w:pPr>
      <w:r>
        <w:rPr>
          <w:rFonts w:ascii="Arial" w:cs="Arial" w:eastAsia="Arial" w:hAnsi="Arial"/>
          <w:sz w:val="20"/>
          <w:szCs w:val="20"/>
        </w:rPr>
        <w:t xml:space="preserve">Deployment runbooks.</w:t>
      </w:r>
    </w:p>
    <w:p>
      <w:pPr>
        <w:pStyle w:val="ListParagraph"/>
        <w:numPr>
          <w:ilvl w:val="0"/>
          <w:numId w:val="2"/>
        </w:numPr>
        <w:spacing w:after="60" w:line="264"/>
      </w:pPr>
      <w:r>
        <w:rPr>
          <w:rFonts w:ascii="Arial" w:cs="Arial" w:eastAsia="Arial" w:hAnsi="Arial"/>
          <w:sz w:val="20"/>
          <w:szCs w:val="20"/>
        </w:rPr>
        <w:t xml:space="preserve">User/admin training materials.</w:t>
      </w:r>
    </w:p>
    <w:p>
      <w:pPr>
        <w:pStyle w:val="ListParagraph"/>
        <w:numPr>
          <w:ilvl w:val="0"/>
          <w:numId w:val="2"/>
        </w:numPr>
        <w:spacing w:after="60" w:line="264"/>
      </w:pPr>
      <w:r>
        <w:rPr>
          <w:rFonts w:ascii="Arial" w:cs="Arial" w:eastAsia="Arial" w:hAnsi="Arial"/>
          <w:sz w:val="20"/>
          <w:szCs w:val="20"/>
        </w:rPr>
        <w:t xml:space="preserve">Handover of source code, repositories, infrastructure configuration and intellectual property as contractually agreed.</w:t>
      </w:r>
    </w:p>
    <w:p>
      <w:pPr>
        <w:pStyle w:val="Heading1"/>
        <w:spacing w:after="140" w:before="320"/>
      </w:pPr>
      <w:r>
        <w:rPr>
          <w:rFonts w:ascii="Arial" w:cs="Arial" w:eastAsia="Arial" w:hAnsi="Arial"/>
          <w:b/>
          <w:bCs/>
          <w:color w:val="1B3A5C"/>
          <w:sz w:val="30"/>
          <w:szCs w:val="30"/>
        </w:rPr>
        <w:t xml:space="preserve">31. Questions Developers Must Address in Proposal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Migration question re-scoped to future phases; CCS registration timeline question added.</w:t>
      </w:r>
    </w:p>
    <w:p>
      <w:pPr>
        <w:pStyle w:val="ListParagraph"/>
        <w:numPr>
          <w:ilvl w:val="0"/>
          <w:numId w:val="2"/>
        </w:numPr>
        <w:spacing w:after="60" w:line="264"/>
      </w:pPr>
      <w:r>
        <w:rPr>
          <w:rFonts w:ascii="Arial" w:cs="Arial" w:eastAsia="Arial" w:hAnsi="Arial"/>
          <w:sz w:val="20"/>
          <w:szCs w:val="20"/>
        </w:rPr>
        <w:t xml:space="preserve">Recommended technology stack and rationale.</w:t>
      </w:r>
    </w:p>
    <w:p>
      <w:pPr>
        <w:pStyle w:val="ListParagraph"/>
        <w:numPr>
          <w:ilvl w:val="0"/>
          <w:numId w:val="2"/>
        </w:numPr>
        <w:spacing w:after="60" w:line="264"/>
      </w:pPr>
      <w:r>
        <w:rPr>
          <w:rFonts w:ascii="Arial" w:cs="Arial" w:eastAsia="Arial" w:hAnsi="Arial"/>
          <w:sz w:val="20"/>
          <w:szCs w:val="20"/>
        </w:rPr>
        <w:t xml:space="preserve">Proposed architecture and Australian hosting model.</w:t>
      </w:r>
    </w:p>
    <w:p>
      <w:pPr>
        <w:pStyle w:val="ListParagraph"/>
        <w:numPr>
          <w:ilvl w:val="0"/>
          <w:numId w:val="2"/>
        </w:numPr>
        <w:spacing w:after="60" w:line="264"/>
      </w:pPr>
      <w:r>
        <w:rPr>
          <w:rFonts w:ascii="Arial" w:cs="Arial" w:eastAsia="Arial" w:hAnsi="Arial"/>
          <w:sz w:val="20"/>
          <w:szCs w:val="20"/>
        </w:rPr>
        <w:t xml:space="preserve">Estimated development team composition.</w:t>
      </w:r>
    </w:p>
    <w:p>
      <w:pPr>
        <w:pStyle w:val="ListParagraph"/>
        <w:numPr>
          <w:ilvl w:val="0"/>
          <w:numId w:val="2"/>
        </w:numPr>
        <w:spacing w:after="60" w:line="264"/>
      </w:pPr>
      <w:r>
        <w:rPr>
          <w:rFonts w:ascii="Arial" w:cs="Arial" w:eastAsia="Arial" w:hAnsi="Arial"/>
          <w:sz w:val="20"/>
          <w:szCs w:val="20"/>
        </w:rPr>
        <w:t xml:space="preserve">Estimated delivery timeline by phase.</w:t>
      </w:r>
    </w:p>
    <w:p>
      <w:pPr>
        <w:pStyle w:val="ListParagraph"/>
        <w:numPr>
          <w:ilvl w:val="0"/>
          <w:numId w:val="2"/>
        </w:numPr>
        <w:spacing w:after="60" w:line="264"/>
      </w:pPr>
      <w:r>
        <w:rPr>
          <w:rFonts w:ascii="Arial" w:cs="Arial" w:eastAsia="Arial" w:hAnsi="Arial"/>
          <w:sz w:val="20"/>
          <w:szCs w:val="20"/>
        </w:rPr>
        <w:t xml:space="preserve">Estimated development cost by phase.</w:t>
      </w:r>
    </w:p>
    <w:p>
      <w:pPr>
        <w:pStyle w:val="ListParagraph"/>
        <w:numPr>
          <w:ilvl w:val="0"/>
          <w:numId w:val="2"/>
        </w:numPr>
        <w:spacing w:after="60" w:line="264"/>
      </w:pPr>
      <w:r>
        <w:rPr>
          <w:rFonts w:ascii="Arial" w:cs="Arial" w:eastAsia="Arial" w:hAnsi="Arial"/>
          <w:sz w:val="20"/>
          <w:szCs w:val="20"/>
        </w:rPr>
        <w:t xml:space="preserve">Third-party services and expected recurring costs.</w:t>
      </w:r>
    </w:p>
    <w:p>
      <w:pPr>
        <w:pStyle w:val="ListParagraph"/>
        <w:numPr>
          <w:ilvl w:val="0"/>
          <w:numId w:val="2"/>
        </w:numPr>
        <w:spacing w:after="60" w:line="264"/>
      </w:pPr>
      <w:r>
        <w:rPr>
          <w:rFonts w:ascii="Arial" w:cs="Arial" w:eastAsia="Arial" w:hAnsi="Arial"/>
          <w:sz w:val="20"/>
          <w:szCs w:val="20"/>
        </w:rPr>
        <w:t xml:space="preserve">CCS integration approach, registration timeline and dependencies (Phase 1 critical path).</w:t>
      </w:r>
    </w:p>
    <w:p>
      <w:pPr>
        <w:pStyle w:val="ListParagraph"/>
        <w:numPr>
          <w:ilvl w:val="0"/>
          <w:numId w:val="2"/>
        </w:numPr>
        <w:spacing w:after="60" w:line="264"/>
      </w:pPr>
      <w:r>
        <w:rPr>
          <w:rFonts w:ascii="Arial" w:cs="Arial" w:eastAsia="Arial" w:hAnsi="Arial"/>
          <w:sz w:val="20"/>
          <w:szCs w:val="20"/>
        </w:rPr>
        <w:t xml:space="preserve">Security/privacy architecture.</w:t>
      </w:r>
    </w:p>
    <w:p>
      <w:pPr>
        <w:pStyle w:val="ListParagraph"/>
        <w:numPr>
          <w:ilvl w:val="0"/>
          <w:numId w:val="2"/>
        </w:numPr>
        <w:spacing w:after="60" w:line="264"/>
      </w:pPr>
      <w:r>
        <w:rPr>
          <w:rFonts w:ascii="Arial" w:cs="Arial" w:eastAsia="Arial" w:hAnsi="Arial"/>
          <w:sz w:val="20"/>
          <w:szCs w:val="20"/>
        </w:rPr>
        <w:t xml:space="preserve">Offline-sync strategy.</w:t>
      </w:r>
    </w:p>
    <w:p>
      <w:pPr>
        <w:pStyle w:val="ListParagraph"/>
        <w:numPr>
          <w:ilvl w:val="0"/>
          <w:numId w:val="2"/>
        </w:numPr>
        <w:spacing w:after="60" w:line="264"/>
      </w:pPr>
      <w:r>
        <w:rPr>
          <w:rFonts w:ascii="Arial" w:cs="Arial" w:eastAsia="Arial" w:hAnsi="Arial"/>
          <w:sz w:val="20"/>
          <w:szCs w:val="20"/>
        </w:rPr>
        <w:t xml:space="preserve">Centre onboarding approach for MVP (manual/assisted setup); data migration approach for a future phase.</w:t>
      </w:r>
    </w:p>
    <w:p>
      <w:pPr>
        <w:pStyle w:val="ListParagraph"/>
        <w:numPr>
          <w:ilvl w:val="0"/>
          <w:numId w:val="2"/>
        </w:numPr>
        <w:spacing w:after="60" w:line="264"/>
      </w:pPr>
      <w:r>
        <w:rPr>
          <w:rFonts w:ascii="Arial" w:cs="Arial" w:eastAsia="Arial" w:hAnsi="Arial"/>
          <w:sz w:val="20"/>
          <w:szCs w:val="20"/>
        </w:rPr>
        <w:t xml:space="preserve">Testing strategy and quality gates.</w:t>
      </w:r>
    </w:p>
    <w:p>
      <w:pPr>
        <w:pStyle w:val="ListParagraph"/>
        <w:numPr>
          <w:ilvl w:val="0"/>
          <w:numId w:val="2"/>
        </w:numPr>
        <w:spacing w:after="60" w:line="264"/>
      </w:pPr>
      <w:r>
        <w:rPr>
          <w:rFonts w:ascii="Arial" w:cs="Arial" w:eastAsia="Arial" w:hAnsi="Arial"/>
          <w:sz w:val="20"/>
          <w:szCs w:val="20"/>
        </w:rPr>
        <w:t xml:space="preserve">Support and maintenance model after launch.</w:t>
      </w:r>
    </w:p>
    <w:p>
      <w:pPr>
        <w:pStyle w:val="ListParagraph"/>
        <w:numPr>
          <w:ilvl w:val="0"/>
          <w:numId w:val="2"/>
        </w:numPr>
        <w:spacing w:after="60" w:line="264"/>
      </w:pPr>
      <w:r>
        <w:rPr>
          <w:rFonts w:ascii="Arial" w:cs="Arial" w:eastAsia="Arial" w:hAnsi="Arial"/>
          <w:sz w:val="20"/>
          <w:szCs w:val="20"/>
        </w:rPr>
        <w:t xml:space="preserve">Approach to app-store deployment and ongoing releases.</w:t>
      </w:r>
    </w:p>
    <w:p>
      <w:pPr>
        <w:pStyle w:val="ListParagraph"/>
        <w:numPr>
          <w:ilvl w:val="0"/>
          <w:numId w:val="2"/>
        </w:numPr>
        <w:spacing w:after="60" w:line="264"/>
      </w:pPr>
      <w:r>
        <w:rPr>
          <w:rFonts w:ascii="Arial" w:cs="Arial" w:eastAsia="Arial" w:hAnsi="Arial"/>
          <w:sz w:val="20"/>
          <w:szCs w:val="20"/>
        </w:rPr>
        <w:t xml:space="preserve">Approach to AI features and data privacy.</w:t>
      </w:r>
    </w:p>
    <w:p>
      <w:pPr>
        <w:pStyle w:val="ListParagraph"/>
        <w:numPr>
          <w:ilvl w:val="0"/>
          <w:numId w:val="2"/>
        </w:numPr>
        <w:spacing w:after="60" w:line="264"/>
      </w:pPr>
      <w:r>
        <w:rPr>
          <w:rFonts w:ascii="Arial" w:cs="Arial" w:eastAsia="Arial" w:hAnsi="Arial"/>
          <w:sz w:val="20"/>
          <w:szCs w:val="20"/>
        </w:rPr>
        <w:t xml:space="preserve">How source code, cloud infrastructure, data and IP ownership will be handled.</w:t>
      </w:r>
    </w:p>
    <w:p>
      <w:pPr>
        <w:pStyle w:val="Heading1"/>
        <w:spacing w:after="140" w:before="320"/>
      </w:pPr>
      <w:r>
        <w:rPr>
          <w:rFonts w:ascii="Arial" w:cs="Arial" w:eastAsia="Arial" w:hAnsi="Arial"/>
          <w:b/>
          <w:bCs/>
          <w:color w:val="1B3A5C"/>
          <w:sz w:val="30"/>
          <w:szCs w:val="30"/>
        </w:rPr>
        <w:t xml:space="preserve">32. Out of Scope for Initial MVP</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Data migration added; billing removed from deferred scope.</w:t>
      </w:r>
    </w:p>
    <w:p>
      <w:pPr>
        <w:pStyle w:val="ListParagraph"/>
        <w:numPr>
          <w:ilvl w:val="0"/>
          <w:numId w:val="2"/>
        </w:numPr>
        <w:spacing w:after="60" w:line="264"/>
      </w:pPr>
      <w:r>
        <w:rPr>
          <w:rFonts w:ascii="Arial" w:cs="Arial" w:eastAsia="Arial" w:hAnsi="Arial"/>
          <w:sz w:val="20"/>
          <w:szCs w:val="20"/>
        </w:rPr>
        <w:t xml:space="preserve">Data migration/import from incumbent childcare management systems (centres onboard via manual/assisted setup).</w:t>
      </w:r>
    </w:p>
    <w:p>
      <w:pPr>
        <w:pStyle w:val="ListParagraph"/>
        <w:numPr>
          <w:ilvl w:val="0"/>
          <w:numId w:val="2"/>
        </w:numPr>
        <w:spacing w:after="60" w:line="264"/>
      </w:pPr>
      <w:r>
        <w:rPr>
          <w:rFonts w:ascii="Arial" w:cs="Arial" w:eastAsia="Arial" w:hAnsi="Arial"/>
          <w:sz w:val="20"/>
          <w:szCs w:val="20"/>
        </w:rPr>
        <w:t xml:space="preserve">Full payroll processing.</w:t>
      </w:r>
    </w:p>
    <w:p>
      <w:pPr>
        <w:pStyle w:val="ListParagraph"/>
        <w:numPr>
          <w:ilvl w:val="0"/>
          <w:numId w:val="2"/>
        </w:numPr>
        <w:spacing w:after="60" w:line="264"/>
      </w:pPr>
      <w:r>
        <w:rPr>
          <w:rFonts w:ascii="Arial" w:cs="Arial" w:eastAsia="Arial" w:hAnsi="Arial"/>
          <w:sz w:val="20"/>
          <w:szCs w:val="20"/>
        </w:rPr>
        <w:t xml:space="preserve">Complex accounting/GL functionality.</w:t>
      </w:r>
    </w:p>
    <w:p>
      <w:pPr>
        <w:pStyle w:val="ListParagraph"/>
        <w:numPr>
          <w:ilvl w:val="0"/>
          <w:numId w:val="2"/>
        </w:numPr>
        <w:spacing w:after="60" w:line="264"/>
      </w:pPr>
      <w:r>
        <w:rPr>
          <w:rFonts w:ascii="Arial" w:cs="Arial" w:eastAsia="Arial" w:hAnsi="Arial"/>
          <w:sz w:val="20"/>
          <w:szCs w:val="20"/>
        </w:rPr>
        <w:t xml:space="preserve">Predictive child development or health scoring.</w:t>
      </w:r>
    </w:p>
    <w:p>
      <w:pPr>
        <w:pStyle w:val="ListParagraph"/>
        <w:numPr>
          <w:ilvl w:val="0"/>
          <w:numId w:val="2"/>
        </w:numPr>
        <w:spacing w:after="60" w:line="264"/>
      </w:pPr>
      <w:r>
        <w:rPr>
          <w:rFonts w:ascii="Arial" w:cs="Arial" w:eastAsia="Arial" w:hAnsi="Arial"/>
          <w:sz w:val="20"/>
          <w:szCs w:val="20"/>
        </w:rPr>
        <w:t xml:space="preserve">Automated decisions about a child's development or wellbeing.</w:t>
      </w:r>
    </w:p>
    <w:p>
      <w:pPr>
        <w:pStyle w:val="ListParagraph"/>
        <w:numPr>
          <w:ilvl w:val="0"/>
          <w:numId w:val="2"/>
        </w:numPr>
        <w:spacing w:after="60" w:line="264"/>
      </w:pPr>
      <w:r>
        <w:rPr>
          <w:rFonts w:ascii="Arial" w:cs="Arial" w:eastAsia="Arial" w:hAnsi="Arial"/>
          <w:sz w:val="20"/>
          <w:szCs w:val="20"/>
        </w:rPr>
        <w:t xml:space="preserve">Advertising based on children/family data.</w:t>
      </w:r>
    </w:p>
    <w:p>
      <w:pPr>
        <w:pStyle w:val="ListParagraph"/>
        <w:numPr>
          <w:ilvl w:val="0"/>
          <w:numId w:val="2"/>
        </w:numPr>
        <w:spacing w:after="60" w:line="264"/>
      </w:pPr>
      <w:r>
        <w:rPr>
          <w:rFonts w:ascii="Arial" w:cs="Arial" w:eastAsia="Arial" w:hAnsi="Arial"/>
          <w:sz w:val="20"/>
          <w:szCs w:val="20"/>
        </w:rPr>
        <w:t xml:space="preserve">Unrestricted location tracking.</w:t>
      </w:r>
    </w:p>
    <w:p>
      <w:pPr>
        <w:pStyle w:val="ListParagraph"/>
        <w:numPr>
          <w:ilvl w:val="0"/>
          <w:numId w:val="2"/>
        </w:numPr>
        <w:spacing w:after="60" w:line="264"/>
      </w:pPr>
      <w:r>
        <w:rPr>
          <w:rFonts w:ascii="Arial" w:cs="Arial" w:eastAsia="Arial" w:hAnsi="Arial"/>
          <w:sz w:val="20"/>
          <w:szCs w:val="20"/>
        </w:rPr>
        <w:t xml:space="preserve">Public social networking between families.</w:t>
      </w:r>
    </w:p>
    <w:p>
      <w:pPr>
        <w:pStyle w:val="ListParagraph"/>
        <w:numPr>
          <w:ilvl w:val="0"/>
          <w:numId w:val="2"/>
        </w:numPr>
        <w:spacing w:after="60" w:line="264"/>
      </w:pPr>
      <w:r>
        <w:rPr>
          <w:rFonts w:ascii="Arial" w:cs="Arial" w:eastAsia="Arial" w:hAnsi="Arial"/>
          <w:sz w:val="20"/>
          <w:szCs w:val="20"/>
        </w:rPr>
        <w:t xml:space="preserve">Advanced enterprise workforce optimisation.</w:t>
      </w:r>
    </w:p>
    <w:p>
      <w:pPr>
        <w:pStyle w:val="ListParagraph"/>
        <w:numPr>
          <w:ilvl w:val="0"/>
          <w:numId w:val="2"/>
        </w:numPr>
        <w:spacing w:after="60" w:line="264"/>
      </w:pPr>
      <w:r>
        <w:rPr>
          <w:rFonts w:ascii="Arial" w:cs="Arial" w:eastAsia="Arial" w:hAnsi="Arial"/>
          <w:sz w:val="20"/>
          <w:szCs w:val="20"/>
        </w:rPr>
        <w:t xml:space="preserve">Any AI capability that creates official records without human review.</w:t>
      </w:r>
    </w:p>
    <w:p>
      <w:pPr>
        <w:pStyle w:val="Heading1"/>
        <w:spacing w:after="140" w:before="320"/>
      </w:pPr>
      <w:r>
        <w:rPr>
          <w:rFonts w:ascii="Arial" w:cs="Arial" w:eastAsia="Arial" w:hAnsi="Arial"/>
          <w:b/>
          <w:bCs/>
          <w:color w:val="1B3A5C"/>
          <w:sz w:val="30"/>
          <w:szCs w:val="30"/>
        </w:rPr>
        <w:t xml:space="preserve">33. Regulatory &amp; Reference Considerations</w:t>
      </w:r>
    </w:p>
    <w:p>
      <w:pPr>
        <w:spacing w:after="120" w:line="276"/>
      </w:pPr>
      <w:r>
        <w:rPr>
          <w:rFonts w:ascii="Arial" w:cs="Arial" w:eastAsia="Arial" w:hAnsi="Arial"/>
          <w:sz w:val="20"/>
          <w:szCs w:val="20"/>
        </w:rPr>
        <w:t xml:space="preserve">The development team should validate the current legal and technical requirements before implementation and before production launch. Relevant areas include Australian Privacy Principles, children's online privacy requirements, National Quality Framework/EYLF requirements, educator-to-child ratio and qualification requirements, Child Care Subsidy/CCSS processes, data security and applicable consumer/payment obligations.</w:t>
      </w:r>
    </w:p>
    <w:p>
      <w:pPr>
        <w:spacing w:after="120" w:line="276"/>
      </w:pPr>
      <w:r>
        <w:rPr>
          <w:rFonts w:ascii="Arial" w:cs="Arial" w:eastAsia="Arial" w:hAnsi="Arial"/>
          <w:sz w:val="20"/>
          <w:szCs w:val="20"/>
        </w:rPr>
        <w:t xml:space="preserve">The following sources should be treated as starting points for discovery rather than as a substitute for legal/compliance advice:</w:t>
      </w:r>
    </w:p>
    <w:p>
      <w:pPr>
        <w:pStyle w:val="ListParagraph"/>
        <w:numPr>
          <w:ilvl w:val="0"/>
          <w:numId w:val="2"/>
        </w:numPr>
        <w:spacing w:after="60" w:line="264"/>
      </w:pPr>
      <w:r>
        <w:rPr>
          <w:rFonts w:ascii="Arial" w:cs="Arial" w:eastAsia="Arial" w:hAnsi="Arial"/>
          <w:sz w:val="20"/>
          <w:szCs w:val="20"/>
        </w:rPr>
        <w:t xml:space="preserve">Australian Government Department of Education – Child Care Subsidy and software provider information.</w:t>
      </w:r>
    </w:p>
    <w:p>
      <w:pPr>
        <w:pStyle w:val="ListParagraph"/>
        <w:numPr>
          <w:ilvl w:val="0"/>
          <w:numId w:val="2"/>
        </w:numPr>
        <w:spacing w:after="60" w:line="264"/>
      </w:pPr>
      <w:r>
        <w:rPr>
          <w:rFonts w:ascii="Arial" w:cs="Arial" w:eastAsia="Arial" w:hAnsi="Arial"/>
          <w:sz w:val="20"/>
          <w:szCs w:val="20"/>
        </w:rPr>
        <w:t xml:space="preserve">Services Australia – Child Care Subsidy provider and PRODA information.</w:t>
      </w:r>
    </w:p>
    <w:p>
      <w:pPr>
        <w:pStyle w:val="ListParagraph"/>
        <w:numPr>
          <w:ilvl w:val="0"/>
          <w:numId w:val="2"/>
        </w:numPr>
        <w:spacing w:after="60" w:line="264"/>
      </w:pPr>
      <w:r>
        <w:rPr>
          <w:rFonts w:ascii="Arial" w:cs="Arial" w:eastAsia="Arial" w:hAnsi="Arial"/>
          <w:sz w:val="20"/>
          <w:szCs w:val="20"/>
        </w:rPr>
        <w:t xml:space="preserve">ACECQA – National Quality Framework, approved learning frameworks, and educator-to-child ratios (including the ratio calculator).</w:t>
      </w:r>
    </w:p>
    <w:p>
      <w:pPr>
        <w:pStyle w:val="ListParagraph"/>
        <w:numPr>
          <w:ilvl w:val="0"/>
          <w:numId w:val="2"/>
        </w:numPr>
        <w:spacing w:after="60" w:line="264"/>
      </w:pPr>
      <w:r>
        <w:rPr>
          <w:rFonts w:ascii="Arial" w:cs="Arial" w:eastAsia="Arial" w:hAnsi="Arial"/>
          <w:sz w:val="20"/>
          <w:szCs w:val="20"/>
        </w:rPr>
        <w:t xml:space="preserve">State and territory regulatory authorities – jurisdiction-specific ratio and staffing requirements.</w:t>
      </w:r>
    </w:p>
    <w:p>
      <w:pPr>
        <w:pStyle w:val="ListParagraph"/>
        <w:numPr>
          <w:ilvl w:val="0"/>
          <w:numId w:val="2"/>
        </w:numPr>
        <w:spacing w:after="60" w:line="264"/>
      </w:pPr>
      <w:r>
        <w:rPr>
          <w:rFonts w:ascii="Arial" w:cs="Arial" w:eastAsia="Arial" w:hAnsi="Arial"/>
          <w:sz w:val="20"/>
          <w:szCs w:val="20"/>
        </w:rPr>
        <w:t xml:space="preserve">Office of the Australian Information Commissioner – Australian Privacy Principles and Children's Online Privacy Code.</w:t>
      </w:r>
    </w:p>
    <w:p>
      <w:pPr>
        <w:pStyle w:val="ListParagraph"/>
        <w:numPr>
          <w:ilvl w:val="0"/>
          <w:numId w:val="2"/>
        </w:numPr>
        <w:spacing w:after="60" w:line="264"/>
      </w:pPr>
      <w:r>
        <w:rPr>
          <w:rFonts w:ascii="Arial" w:cs="Arial" w:eastAsia="Arial" w:hAnsi="Arial"/>
          <w:sz w:val="20"/>
          <w:szCs w:val="20"/>
        </w:rPr>
        <w:t xml:space="preserve">eSafety Commissioner – guidance on children's privacy and images.</w:t>
      </w:r>
    </w:p>
    <w:p>
      <w:pPr>
        <w:pStyle w:val="Heading1"/>
        <w:spacing w:after="140" w:before="320"/>
      </w:pPr>
      <w:r>
        <w:rPr>
          <w:rFonts w:ascii="Arial" w:cs="Arial" w:eastAsia="Arial" w:hAnsi="Arial"/>
          <w:b/>
          <w:bCs/>
          <w:color w:val="1B3A5C"/>
          <w:sz w:val="30"/>
          <w:szCs w:val="30"/>
        </w:rPr>
        <w:t xml:space="preserve">34. Competitive Research – Product Implications</w:t>
      </w:r>
    </w:p>
    <w:p>
      <w:pPr>
        <w:spacing w:after="120" w:line="276"/>
      </w:pPr>
      <w:r>
        <w:rPr>
          <w:rFonts w:ascii="Arial" w:cs="Arial" w:eastAsia="Arial" w:hAnsi="Arial"/>
          <w:sz w:val="20"/>
          <w:szCs w:val="20"/>
        </w:rPr>
        <w:t xml:space="preserve">Review of publicly available competitor app-store feedback indicates recurring category-level themes around reliability, notifications, navigation, media, messaging, authentication, support and workflow friction. These findings should be treated as discovery signals and validated with Australian centres and families before becoming contractual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Observed Market Theme</w:t>
            </w:r>
          </w:p>
        </w:tc>
        <w:tc>
          <w:tcPr>
            <w:tcW w:type="dxa" w:w="597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BRD Response</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Navigation/workflow friction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Child-at-a-glance and role-specific home screens.</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 problems</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categories, digest and delivery monitoring.</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Media/photo usability</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media permissions, filtering and child context.</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Authentication/sign-in issues</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Reliable identity service, biometric option and recovery flows.</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frustration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In-app support, service status and escalation workflow.</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paperwork</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Quick/group logging and offline-first design.</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confusion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Transparent, explainable billing presentation.</w:t>
            </w:r>
          </w:p>
        </w:tc>
      </w:tr>
    </w:tbl>
    <w:p>
      <w:pPr>
        <w:spacing w:after="80"/>
      </w:pPr>
    </w:p>
    <w:p>
      <w:pPr>
        <w:pStyle w:val="Heading1"/>
        <w:spacing w:after="140" w:before="320"/>
      </w:pPr>
      <w:r>
        <w:rPr>
          <w:rFonts w:ascii="Arial" w:cs="Arial" w:eastAsia="Arial" w:hAnsi="Arial"/>
          <w:b/>
          <w:bCs/>
          <w:color w:val="1B3A5C"/>
          <w:sz w:val="30"/>
          <w:szCs w:val="30"/>
        </w:rPr>
        <w:t xml:space="preserve">35. Final Product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Less paperwork for educators. More connection for parents. Better visibility for centres. Better support for children.</w:t>
            </w:r>
          </w:p>
        </w:tc>
      </w:tr>
    </w:tbl>
    <w:p>
      <w:pPr>
        <w:spacing w:after="60"/>
      </w:pPr>
    </w:p>
    <w:p>
      <w:pPr>
        <w:spacing w:after="120" w:line="276"/>
      </w:pPr>
      <w:r>
        <w:rPr>
          <w:rFonts w:ascii="Arial" w:cs="Arial" w:eastAsia="Arial" w:hAnsi="Arial"/>
          <w:sz w:val="20"/>
          <w:szCs w:val="20"/>
        </w:rPr>
        <w:t xml:space="preserve">The product should be developed as an integrated childcare operating and family experience platform, rather than as a collection of disconnected features. Reliability, simplicity, privacy and educator efficiency should be treated as core product capabilities.</w:t>
      </w:r>
    </w:p>
    <w:p>
      <w:pPr>
        <w:pStyle w:val="Heading1"/>
        <w:spacing w:after="140" w:before="320"/>
      </w:pPr>
      <w:r>
        <w:rPr>
          <w:rFonts w:ascii="Arial" w:cs="Arial" w:eastAsia="Arial" w:hAnsi="Arial"/>
          <w:b/>
          <w:bCs/>
          <w:color w:val="1B3A5C"/>
          <w:sz w:val="30"/>
          <w:szCs w:val="30"/>
        </w:rPr>
        <w:t xml:space="preserve">Appendix A – Requirement Priority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77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Definition</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Required for the relevant release to be considered viable.</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Important capability; may be phased if necessary without invalidating the release.</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Useful enhancement subject to capacity and validation.</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 required for the current release; retained for roadmap consideration.</w:t>
            </w:r>
          </w:p>
        </w:tc>
      </w:tr>
    </w:tbl>
    <w:p>
      <w:pPr>
        <w:spacing w:after="80"/>
      </w:pPr>
    </w:p>
    <w:p>
      <w:pPr>
        <w:pStyle w:val="Heading1"/>
        <w:spacing w:after="140" w:before="320"/>
      </w:pPr>
      <w:r>
        <w:rPr>
          <w:rFonts w:ascii="Arial" w:cs="Arial" w:eastAsia="Arial" w:hAnsi="Arial"/>
          <w:b/>
          <w:bCs/>
          <w:color w:val="1B3A5C"/>
          <w:sz w:val="30"/>
          <w:szCs w:val="30"/>
        </w:rPr>
        <w:t xml:space="preserve">Appendix B – Source Notes</w:t>
      </w:r>
    </w:p>
    <w:p>
      <w:pPr>
        <w:spacing w:after="120" w:line="276"/>
      </w:pPr>
      <w:r>
        <w:rPr>
          <w:rFonts w:ascii="Arial" w:cs="Arial" w:eastAsia="Arial" w:hAnsi="Arial"/>
          <w:sz w:val="20"/>
          <w:szCs w:val="20"/>
        </w:rPr>
        <w:t xml:space="preserve">This BRD has been strengthened using publicly available competitor app-store feedback and Australian government/regulatory material reviewed during product research. App-store reviews are directional evidence only and should not be interpreted as statistically representative of all users. Indicative ratio values in §13A.2 are drawn from ACECQA published guidance and must be validated against current regulations.</w:t>
      </w:r>
    </w:p>
    <w:p>
      <w:pPr>
        <w:spacing w:after="120" w:line="276"/>
      </w:pPr>
      <w:r>
        <w:rPr>
          <w:rFonts w:ascii="Arial" w:cs="Arial" w:eastAsia="Arial" w:hAnsi="Arial"/>
          <w:i/>
          <w:iCs/>
          <w:color w:val="5A6472"/>
          <w:sz w:val="18"/>
          <w:szCs w:val="18"/>
        </w:rPr>
        <w:t xml:space="preserve">Prepared as a developer briefing document. Regulatory, legal, privacy and CCS implementation requirements should be independently validated before production development and launch.</w:t>
      </w:r>
    </w:p>
    <w:p>
      <w:pPr>
        <w:pStyle w:val="Heading1"/>
        <w:spacing w:after="140" w:before="320"/>
      </w:pPr>
      <w:r>
        <w:rPr>
          <w:rFonts w:ascii="Arial" w:cs="Arial" w:eastAsia="Arial" w:hAnsi="Arial"/>
          <w:b/>
          <w:bCs/>
          <w:color w:val="1B3A5C"/>
          <w:sz w:val="30"/>
          <w:szCs w:val="30"/>
        </w:rPr>
        <w:t xml:space="preserve">Appendix C – Open Items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New appendix.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301"/>
        <w:gridCol w:w="2120"/>
        <w:gridCol w:w="1350"/>
      </w:tblGrid>
      <w:tr>
        <w:trPr>
          <w:tblHeader/>
        </w:trPr>
        <w:tc>
          <w:tcPr>
            <w:tcW w:type="dxa" w:w="86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t>
            </w:r>
          </w:p>
        </w:tc>
        <w:tc>
          <w:tcPr>
            <w:tcW w:type="dxa" w:w="530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Item</w:t>
            </w:r>
          </w:p>
        </w:tc>
        <w:tc>
          <w:tcPr>
            <w:tcW w:type="dxa" w:w="212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Owner</w:t>
            </w:r>
          </w:p>
        </w:tc>
        <w:tc>
          <w:tcPr>
            <w:tcW w:type="dxa" w:w="13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Status</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OI-01</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Performance targets (p95 latency, app start time, concurrent users, invoice-run duration).</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Tech lead</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OI-02</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RPO and RTO values for disaster recovery.</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Tech lead</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OI-03</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Accessibility standard and conformance level (WCAG 2.2 AA recommended).</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OI-04</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Whether basic observation capture (EDU-004/005) is needed in Phase 1, given learning workflows are Phase 2.</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OI-05</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registration pathway and timeline; contingency if not achieved before Phase 1 go-live.</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Compliance</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OI-06</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gateway selection (card + BECS direct debit).</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Tech lead / Finance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OI-07</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Validation of ratio and qualification rules per jurisdiction (§13A.2).</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OI-08</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migration scope and source systems for the post-MVP phase.</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Deferred</w:t>
            </w:r>
          </w:p>
        </w:tc>
      </w:tr>
    </w:tbl>
    <w:p>
      <w:pPr>
        <w:spacing w:after="8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472"/>
        <w:sz w:val="16"/>
        <w:szCs w:val="16"/>
      </w:rPr>
      <w:t xml:space="preserve">Next-Gen Childcare Management &amp; Family Experience Platform | BRD v2.1</w:t>
    </w:r>
    <w:r>
      <w:rPr>
        <w:rFonts w:ascii="Arial" w:cs="Arial" w:eastAsia="Arial" w:hAnsi="Arial"/>
        <w:color w:val="5A6472"/>
        <w:sz w:val="16"/>
        <w:szCs w:val="16"/>
      </w:rPr>
      <w:t xml:space="preserve">	Page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Childcare BRD v2.1</dc:title>
  <dc:creator>Product Team</dc:creator>
  <cp:lastModifiedBy>Un-named</cp:lastModifiedBy>
  <cp:revision>1</cp:revision>
  <dcterms:created xsi:type="dcterms:W3CDTF">2026-09-28T06:43:27.913Z</dcterms:created>
  <dcterms:modified xsi:type="dcterms:W3CDTF">2026-09-28T06:43:27.913Z</dcterms:modified>
</cp:coreProperties>
</file>

<file path=docProps/custom.xml><?xml version="1.0" encoding="utf-8"?>
<Properties xmlns="http://schemas.openxmlformats.org/officeDocument/2006/custom-properties" xmlns:vt="http://schemas.openxmlformats.org/officeDocument/2006/docPropsVTypes"/>
</file>