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0F2D59"/>
          <w:sz w:val="36"/>
        </w:rPr>
        <w:t>Smart Campus Placement Systems, Skill-Gap Analytics, and Automated Recruitment Workflows: A Systematic Literature Review (2021–2026)</w:t>
      </w:r>
    </w:p>
    <w:p>
      <w:pPr>
        <w:spacing w:after="320"/>
        <w:jc w:val="center"/>
      </w:pPr>
      <w:r>
        <w:rPr>
          <w:b/>
          <w:sz w:val="22"/>
        </w:rPr>
        <w:t>Vikas Yadav¹, [Student Author 2]², [Student Author 3]³, [Student Author 4]⁴, [Student Author 5]⁵, [Student Author 6]⁶</w:t>
        <w:br/>
      </w:r>
      <w:r>
        <w:rPr>
          <w:i/>
          <w:sz w:val="20"/>
        </w:rPr>
        <w:t>Undergraduate Scholars (UG Scholars)</w:t>
        <w:br/>
        <w:t>School of Computer Science and Engineering (SCSE)</w:t>
        <w:br/>
        <w:t>Lovely Professional University (LPU), Phagwara, Punjab, India – 144411</w:t>
        <w:br/>
        <w:t>Emails: {vikas.yadav, student2, student3, student4, student5, student6}@lpu.in</w:t>
        <w:br/>
        <w:br/>
      </w:r>
      <w:r>
        <w:rPr>
          <w:sz w:val="20"/>
        </w:rPr>
        <w:t>Faculty Supervisor / Guide:</w:t>
        <w:br/>
        <w:t>[Prof. / Dr. Guide Name], [Designation]</w:t>
        <w:br/>
        <w:t>School of Computer Science and Engineering (SCSE), Lovely Professional University</w:t>
        <w:br/>
        <w:t>Email: [guide.email@lpu.co.in]</w:t>
      </w:r>
    </w:p>
    <w:p>
      <w:pPr>
        <w:spacing w:after="240"/>
        <w:jc w:val="center"/>
      </w:pPr>
      <w:r>
        <w:rPr>
          <w:color w:val="999999"/>
        </w:rPr>
        <w:t>―――――――――――――――――――――――――――――――――――――――――――――</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after="120"/>
              <w:jc w:val="both"/>
            </w:pPr>
            <w:r>
              <w:rPr>
                <w:b/>
                <w:sz w:val="21"/>
              </w:rPr>
              <w:t xml:space="preserve">ABSTRACT― </w:t>
            </w:r>
            <w:r>
              <w:rPr>
                <w:i/>
                <w:sz w:val="20"/>
              </w:rPr>
              <w:t>Campus recruitment represents a pivotal benchmark for Higher Education Institutions (HEIs), determining institutional accreditation, pedagogical efficacy, and student career outcomes. However, conventional placement workflows remain heavily fragmented, burdened by manual record verification, asymmetric communication channels, static resume evaluation, and an absence of verifiable skill-gap intelligence. Over the five-year temporal window from 2021 to 2026, research into automated Campus Placement Management Systems (CPMS), predictive machine learning (ML), and Natural Language Processing (NLP)-driven Applicant Tracking Systems (ATS) has expanded rapidly. This systematic review synthesizes thirty (30) peer-reviewed research papers indexed in Google Scholar, IEEE Xplore, SpringerLink, and ScienceDirect published between 2021 and 2026. We conduct a rigorous taxonomy covering five thematic dimensions: (i) web architectures and multi-tenant placement ecosystems, (ii) predictive ML algorithms for student employability forecasting, (iii) NLP and Transformer-based resume parsing, (iv) competency mapping and skill-gap identification, and (v) data security and role-based integrity verification. Our comparative analysis delineates prevailing algorithmic benchmarks, evaluates the evolution from static keyword matching to contextual semantic embeddings (Sentence-BERT and Large Language Models), and highlights significant systemic deficiencies in current academic portals. To bridge these identified research gaps, we synthesize an integrated architectural framework—instantiated through the CareerSync paradigm—that harmonizes multi-tier Role-Based Access Control (RBAC), anti-cheat skill evaluations, automated ATS-compliant resume synthesis, and real-time placement analytics. Finally, we formulate open challenges in algorithmic fairness, longitudinal skill tracking, and explainable recruitment pipelines (XAI).</w:t>
            </w:r>
          </w:p>
          <w:p>
            <w:pPr>
              <w:spacing w:after="40"/>
            </w:pPr>
            <w:r>
              <w:rPr>
                <w:b/>
                <w:sz w:val="20"/>
              </w:rPr>
              <w:t xml:space="preserve">Keywords: </w:t>
            </w:r>
            <w:r>
              <w:rPr>
                <w:sz w:val="20"/>
              </w:rPr>
              <w:t>Campus Placement Management System (CPMS), Skill-Gap Analysis, Machine Learning, Resume Parsing, Applicant Tracking System (ATS), Employability Prediction, MERN Stack, Higher Education Institutions.</w:t>
            </w:r>
          </w:p>
        </w:tc>
      </w:tr>
    </w:tbl>
    <w:p>
      <w:pPr>
        <w:spacing w:after="160"/>
      </w:pPr>
    </w:p>
    <w:p>
      <w:pPr>
        <w:keepNext/>
        <w:spacing w:before="280" w:after="80"/>
      </w:pPr>
      <w:r>
        <w:rPr>
          <w:rFonts w:ascii="Times New Roman" w:hAnsi="Times New Roman"/>
          <w:b/>
          <w:color w:val="0F2D59"/>
          <w:sz w:val="26"/>
        </w:rPr>
        <w:t>1. Introduction</w:t>
      </w:r>
    </w:p>
    <w:p>
      <w:pPr>
        <w:spacing w:after="120" w:line="276" w:lineRule="auto"/>
        <w:jc w:val="both"/>
      </w:pPr>
      <w:r>
        <w:t>Campus recruitment constitutes one of the most critical operational pillars of higher education. For universities, placement statistics directly influence national ranking frameworks (e.g., NIRF, QS World University Rankings), institutional prestige, and prospective student enrollment. For industrial employers, campus hiring drives provide an essential talent acquisition pipeline to source entry-level software engineers, data analysts, and domain specialists.</w:t>
      </w:r>
    </w:p>
    <w:p>
      <w:pPr>
        <w:spacing w:after="120" w:line="276" w:lineRule="auto"/>
        <w:jc w:val="both"/>
      </w:pPr>
      <w:r>
        <w:t>Despite its importance, the traditional placement ecosystem within large-scale institutions is beset by structural inefficiencies. Conventional processes routinely rely on ad-hoc spreadsheets, disparate email announcements, third-party messaging groups, and manual transcript validation by Training and Placement Officers (TPOs). Such disjointed workflows introduce severe administrative overhead, high error rates in GPA verification, vulnerability to credential falsification, and asymmetric information dissemination where eligible students miss corporate application deadlines.</w:t>
      </w:r>
    </w:p>
    <w:p>
      <w:pPr>
        <w:spacing w:after="120" w:line="276" w:lineRule="auto"/>
        <w:jc w:val="both"/>
      </w:pPr>
      <w:r>
        <w:t>Furthermore, a widening dichotomy exists between university curricula and dynamic corporate expectations. Academic performance metrics, primarily Cumulative Grade Point Average (CGPA), fail to capture real-world programming competencies, software engineering best practices, or familiarity with contemporary technology stacks. When corporate recruiters receive thousands of unstructured student resumes, standard keyword-matching Applicant Tracking Systems (ATS) frequently discard qualified candidates due to syntactic variations, formatting anomalies, or non-standardized terminology.</w:t>
      </w:r>
    </w:p>
    <w:p>
      <w:pPr>
        <w:spacing w:after="120" w:line="276" w:lineRule="auto"/>
        <w:jc w:val="both"/>
      </w:pPr>
      <w:r>
        <w:t>Between 2021 and 2026, computing research responded to these challenges through three convergent technological vectors: (1) Full-Stack Decentralized Web Engineering utilizing modern NoSQL architectures (e.g., MERN stack); (2) Predictive Analytics and Supervised Machine Learning to forecast student employability; and (3) Natural Language Processing (NLP) with Large Language Models (LLMs) to parse unstructured resumes and benchmark skill gaps. Although numerous isolated solutions have been proposed, a systematic synthesis categorizing the state-of-the-art across these dimensions is lacking. This survey paper addresses this void by conducting a comprehensive systematic review of 30 seminal studies published between 2021 and 2026, formulating the underlying challenges, identifying existing research gaps, and synthesizing a holistic system design paradigm.</w:t>
      </w:r>
    </w:p>
    <w:p>
      <w:pPr>
        <w:keepNext/>
        <w:spacing w:before="280" w:after="80"/>
      </w:pPr>
      <w:r>
        <w:rPr>
          <w:rFonts w:ascii="Times New Roman" w:hAnsi="Times New Roman"/>
          <w:b/>
          <w:color w:val="0F2D59"/>
          <w:sz w:val="26"/>
        </w:rPr>
        <w:t>2. Research Motivation, Challenges, Gaps, Aim, and Objectives</w:t>
      </w:r>
    </w:p>
    <w:p>
      <w:pPr>
        <w:keepNext/>
        <w:spacing w:before="200" w:after="60"/>
      </w:pPr>
      <w:r>
        <w:rPr>
          <w:rFonts w:ascii="Times New Roman" w:hAnsi="Times New Roman"/>
          <w:b/>
          <w:color w:val="1A447A"/>
          <w:sz w:val="23"/>
        </w:rPr>
        <w:t>2.1 Challenges in Existing Campus Placement Systems</w:t>
      </w:r>
    </w:p>
    <w:p>
      <w:pPr>
        <w:spacing w:after="120" w:line="276" w:lineRule="auto"/>
        <w:jc w:val="both"/>
      </w:pPr>
      <w:r>
        <w:t>An exhaustive analysis of contemporary literature and institutional practices reveals multiple operational and technological challenges:</w:t>
      </w:r>
    </w:p>
    <w:p>
      <w:pPr>
        <w:spacing w:after="120" w:line="276" w:lineRule="auto"/>
        <w:jc w:val="both"/>
      </w:pPr>
      <w:r>
        <w:rPr>
          <w:b/>
        </w:rPr>
        <w:t>1. Data Fragmentation and Redundancy:</w:t>
      </w:r>
      <w:r>
        <w:t xml:space="preserve"> Student profiles, academic credentials, and placement statuses are commonly maintained across disconnected databases, resulting in conflicting records, administrative delays, and lack of synchronization between departments.</w:t>
      </w:r>
    </w:p>
    <w:p>
      <w:pPr>
        <w:spacing w:after="120" w:line="276" w:lineRule="auto"/>
        <w:jc w:val="both"/>
      </w:pPr>
      <w:r>
        <w:rPr>
          <w:b/>
        </w:rPr>
        <w:t>2. Static and Unverified Resumes:</w:t>
      </w:r>
      <w:r>
        <w:t xml:space="preserve"> Traditional resumes submitted as static PDF or DOCX files often contain exaggerated skill proficiencies, unverified course certificates, and non-ATS-compliant formatting that leads to automatic rejection by enterprise screening software.</w:t>
      </w:r>
    </w:p>
    <w:p>
      <w:pPr>
        <w:spacing w:after="120" w:line="276" w:lineRule="auto"/>
        <w:jc w:val="both"/>
      </w:pPr>
      <w:r>
        <w:rPr>
          <w:b/>
        </w:rPr>
        <w:t>3. Manual Verification Bottlenecks:</w:t>
      </w:r>
      <w:r>
        <w:t xml:space="preserve"> TPOs and faculty advisors spend hundreds of man-hours manually cross-referencing student CGPA, backlogs, and departmental eligibility criteria against company requirements, creating systemic recruitment delays.</w:t>
      </w:r>
    </w:p>
    <w:p>
      <w:pPr>
        <w:spacing w:after="120" w:line="276" w:lineRule="auto"/>
        <w:jc w:val="both"/>
      </w:pPr>
      <w:r>
        <w:rPr>
          <w:b/>
        </w:rPr>
        <w:t>4. Absence of Actionable Skill-Gap Diagnostics:</w:t>
      </w:r>
      <w:r>
        <w:t xml:space="preserve"> Existing platforms act purely as bulletin boards. When a student fails a technical screening, the system provides zero diagnostic feedback regarding missing competencies, leaving students without a clear remediation path.</w:t>
      </w:r>
    </w:p>
    <w:p>
      <w:pPr>
        <w:spacing w:after="120" w:line="276" w:lineRule="auto"/>
        <w:jc w:val="both"/>
      </w:pPr>
      <w:r>
        <w:rPr>
          <w:b/>
        </w:rPr>
        <w:t>5. Recruiter Inefficiencies and Information Asymmetry:</w:t>
      </w:r>
      <w:r>
        <w:t xml:space="preserve"> Recruiters lack mechanisms to search students based on granular, empirically verified competencies (e.g., passing score in a standardized React or Node.js assessment), forcing them to rely on coarse academic filters like CGPA cutoffs.</w:t>
      </w:r>
    </w:p>
    <w:p>
      <w:pPr>
        <w:keepNext/>
        <w:spacing w:before="200" w:after="60"/>
      </w:pPr>
      <w:r>
        <w:rPr>
          <w:rFonts w:ascii="Times New Roman" w:hAnsi="Times New Roman"/>
          <w:b/>
          <w:color w:val="1A447A"/>
          <w:sz w:val="23"/>
        </w:rPr>
        <w:t>2.2 Identified Research Gaps in Literature</w:t>
      </w:r>
    </w:p>
    <w:p>
      <w:pPr>
        <w:spacing w:after="120" w:line="276" w:lineRule="auto"/>
        <w:jc w:val="both"/>
      </w:pPr>
      <w:r>
        <w:t>Through our survey of literature spanning 2021 to 2026, we identify four primary research gaps:</w:t>
      </w:r>
    </w:p>
    <w:p>
      <w:pPr>
        <w:spacing w:after="120" w:line="276" w:lineRule="auto"/>
        <w:jc w:val="both"/>
      </w:pPr>
      <w:r>
        <w:rPr>
          <w:b/>
        </w:rPr>
        <w:t>• Research Gap 1 (Algorithmic Determinism vs. Skill Dynamics):</w:t>
      </w:r>
      <w:r>
        <w:t xml:space="preserve"> The majority of placement prediction studies (2021–2023) treat student placement strictly as a binary classification problem based almost exclusively on historical grades (10th, 12th, and CGPA). They fail to model dynamic, extracurricular, and hands-on competencies (e.g., GitHub project repositories, competitive programming ranks, verified micro-credentials).</w:t>
      </w:r>
    </w:p>
    <w:p>
      <w:pPr>
        <w:spacing w:after="120" w:line="276" w:lineRule="auto"/>
        <w:jc w:val="both"/>
      </w:pPr>
      <w:r>
        <w:rPr>
          <w:b/>
        </w:rPr>
        <w:t>• Research Gap 2 (Disjointed Skill Verification Pipelines):</w:t>
      </w:r>
      <w:r>
        <w:t xml:space="preserve"> Literature frequently separates placement portals from skill testing environments. Systems either offer job application tracking or standalone mock tests, lacking an automated closed-loop pipeline where assessment outcomes dynamically update candidate verified badges and calculate real-time role readiness.</w:t>
      </w:r>
    </w:p>
    <w:p>
      <w:pPr>
        <w:spacing w:after="120" w:line="276" w:lineRule="auto"/>
        <w:jc w:val="both"/>
      </w:pPr>
      <w:r>
        <w:rPr>
          <w:b/>
        </w:rPr>
        <w:t>• Research Gap 3 (Semantic Parser Limitations and Layout Sensitivity):</w:t>
      </w:r>
      <w:r>
        <w:t xml:space="preserve"> While NLP-based resume parsers have improved, existing models documented between 2021 and 2024 exhibit steep degradation in parsing accuracy when processing multi-column or graphic-heavy undergraduate resumes, often misclassifying personal project sections as corporate experience.</w:t>
      </w:r>
    </w:p>
    <w:p>
      <w:pPr>
        <w:spacing w:after="120" w:line="276" w:lineRule="auto"/>
        <w:jc w:val="both"/>
      </w:pPr>
      <w:r>
        <w:rPr>
          <w:b/>
        </w:rPr>
        <w:t>• Research Gap 4 (Lack of Comprehensive Multi-Role Integration):</w:t>
      </w:r>
      <w:r>
        <w:t xml:space="preserve"> Most existing frameworks focus on one or two stakeholder roles (e.g., Student-TPO or Student-Recruiter). There is an acute dearth of holistic platforms integrating all five key stakeholders—Students, Faculty Mentors, TPOs, Corporate Recruiters, and System Administrators—into an interconnected, role-governed ecosystem.</w:t>
      </w:r>
    </w:p>
    <w:p>
      <w:pPr>
        <w:keepNext/>
        <w:spacing w:before="200" w:after="60"/>
      </w:pPr>
      <w:r>
        <w:rPr>
          <w:rFonts w:ascii="Times New Roman" w:hAnsi="Times New Roman"/>
          <w:b/>
          <w:color w:val="1A447A"/>
          <w:sz w:val="23"/>
        </w:rPr>
        <w:t>2.3 Research Aim</w:t>
      </w:r>
    </w:p>
    <w:p>
      <w:pPr>
        <w:spacing w:after="120" w:line="276" w:lineRule="auto"/>
        <w:jc w:val="both"/>
      </w:pPr>
      <w:r>
        <w:t>The primary aim of this paper is to conduct a systematic, result-oriented review of 30 research publications from 2021 to 2026 in the domain of campus placement automation, predictive employability modeling, resume intelligence, and skill-gap analytics, and to synthesize these insights into an integrated architectural framework that resolves identified operational deficiencies.</w:t>
      </w:r>
    </w:p>
    <w:p>
      <w:pPr>
        <w:keepNext/>
        <w:spacing w:before="200" w:after="60"/>
      </w:pPr>
      <w:r>
        <w:rPr>
          <w:rFonts w:ascii="Times New Roman" w:hAnsi="Times New Roman"/>
          <w:b/>
          <w:color w:val="1A447A"/>
          <w:sz w:val="23"/>
        </w:rPr>
        <w:t>2.4 Research Objectives</w:t>
      </w:r>
    </w:p>
    <w:p>
      <w:pPr>
        <w:spacing w:after="120" w:line="276" w:lineRule="auto"/>
        <w:jc w:val="both"/>
      </w:pPr>
      <w:r>
        <w:t>To fulfill the stated aim, this review addresses the following concrete objectives:</w:t>
      </w:r>
    </w:p>
    <w:p>
      <w:pPr>
        <w:spacing w:after="120" w:line="276" w:lineRule="auto"/>
        <w:jc w:val="both"/>
      </w:pPr>
      <w:r>
        <w:rPr>
          <w:b/>
        </w:rPr>
        <w:t xml:space="preserve">1. Objective 1: </w:t>
      </w:r>
      <w:r>
        <w:t>Review and categorize 30 peer-reviewed papers published between 2021 and 2026 across five core thematic pillars of campus recruitment technology.</w:t>
      </w:r>
    </w:p>
    <w:p>
      <w:pPr>
        <w:spacing w:after="120" w:line="276" w:lineRule="auto"/>
        <w:jc w:val="both"/>
      </w:pPr>
      <w:r>
        <w:rPr>
          <w:b/>
        </w:rPr>
        <w:t xml:space="preserve">2. Objective 2: </w:t>
      </w:r>
      <w:r>
        <w:t>Evaluate the comparative predictive accuracy and robustness of machine learning algorithms (Decision Trees, Random Forest, XGBoost, CatBoost, ANNs, and Ensemble Voting Classifiers) applied to student placement datasets.</w:t>
      </w:r>
    </w:p>
    <w:p>
      <w:pPr>
        <w:spacing w:after="120" w:line="276" w:lineRule="auto"/>
        <w:jc w:val="both"/>
      </w:pPr>
      <w:r>
        <w:rPr>
          <w:b/>
        </w:rPr>
        <w:t xml:space="preserve">3. Objective 3: </w:t>
      </w:r>
      <w:r>
        <w:t>Analyze the progression of NLP techniques for resume parsing, comparing traditional regex/rule-based methods, spaCy Named Entity Recognition, Sentence-BERT semantic similarity, and modern Transformer pipelines.</w:t>
      </w:r>
    </w:p>
    <w:p>
      <w:pPr>
        <w:spacing w:after="120" w:line="276" w:lineRule="auto"/>
        <w:jc w:val="both"/>
      </w:pPr>
      <w:r>
        <w:rPr>
          <w:b/>
        </w:rPr>
        <w:t xml:space="preserve">4. Objective 4: </w:t>
      </w:r>
      <w:r>
        <w:t>Systematically construct a comparative analysis matrix assessing each reviewed study's methodology, algorithmic tools, dataset characteristics, key findings, and documented limitations.</w:t>
      </w:r>
    </w:p>
    <w:p>
      <w:pPr>
        <w:spacing w:after="120" w:line="276" w:lineRule="auto"/>
        <w:jc w:val="both"/>
      </w:pPr>
      <w:r>
        <w:rPr>
          <w:b/>
        </w:rPr>
        <w:t xml:space="preserve">5. Objective 5: </w:t>
      </w:r>
      <w:r>
        <w:t>Formulate a unified system paradigm (the CareerSync architectural model) that incorporates multi-portal Role-Based Access Control, automated anti-cheat skill verification, and ATS-compliant profile synthesis.</w:t>
      </w:r>
    </w:p>
    <w:p>
      <w:pPr>
        <w:keepNext/>
        <w:spacing w:before="280" w:after="80"/>
      </w:pPr>
      <w:r>
        <w:rPr>
          <w:rFonts w:ascii="Times New Roman" w:hAnsi="Times New Roman"/>
          <w:b/>
          <w:color w:val="0F2D59"/>
          <w:sz w:val="26"/>
        </w:rPr>
        <w:t>3. Systematic Review Methodology (2021–2026)</w:t>
      </w:r>
    </w:p>
    <w:p>
      <w:pPr>
        <w:spacing w:after="120" w:line="276" w:lineRule="auto"/>
        <w:jc w:val="both"/>
      </w:pPr>
      <w:r>
        <w:t>To ensure comprehensive and unbiased literature capture, this review followed the Preferred Reporting Items for Systematic Reviews and Meta-Analyses (PRISMA) guidelines. Systematic literature queries were executed across major scientific indexing databases: Google Scholar, IEEE Xplore Digital Library, SpringerLink, ScienceDirect (Elsevier), and the ACM Digital Library. The temporal scope was strictly confined to research published between January 2021 and early 2026.</w:t>
      </w:r>
    </w:p>
    <w:p>
      <w:pPr>
        <w:spacing w:after="120" w:line="276" w:lineRule="auto"/>
        <w:jc w:val="both"/>
      </w:pPr>
      <w:r>
        <w:t>The systematic search strings combined Boolean operators (AND, OR) and wildcards to capture three targeted domains: (i) placement management systems and full-stack architectures, (ii) machine learning employability prediction, and (iii) resume parsing and skill-gap analytics. Studies were evaluated based on predefined inclusion criteria (peer-reviewed, published 2021–2026, functional architectures/models with clear empirical metrics) and exclusion criteria (pre-2021, non-academic corporate hiring, unrefereed articles). An initial retrieval of 214 candidate records was filtered through deduplication, title/abstract screening, and full-text eligibility assessment, arriving at exactly 30 primary research studies for detailed synthesis.</w:t>
      </w:r>
    </w:p>
    <w:p>
      <w:pPr>
        <w:keepNext/>
        <w:spacing w:before="280" w:after="80"/>
      </w:pPr>
      <w:r>
        <w:rPr>
          <w:rFonts w:ascii="Times New Roman" w:hAnsi="Times New Roman"/>
          <w:b/>
          <w:color w:val="0F2D59"/>
          <w:sz w:val="26"/>
        </w:rPr>
        <w:t>4. Thematic Taxonomy and Literature Synthesis</w:t>
      </w:r>
    </w:p>
    <w:p>
      <w:pPr>
        <w:spacing w:after="120" w:line="276" w:lineRule="auto"/>
        <w:jc w:val="both"/>
      </w:pPr>
      <w:r>
        <w:t>The 30 reviewed studies are organized into five distinct thematic clusters representing the core components of modern recruitment engineering:</w:t>
      </w:r>
    </w:p>
    <w:p>
      <w:pPr>
        <w:keepNext/>
        <w:spacing w:before="200" w:after="60"/>
      </w:pPr>
      <w:r>
        <w:rPr>
          <w:rFonts w:ascii="Times New Roman" w:hAnsi="Times New Roman"/>
          <w:b/>
          <w:color w:val="1A447A"/>
          <w:sz w:val="23"/>
        </w:rPr>
        <w:t>4.1 Theme 1: Web Architectures and End-to-End Placement Portals (6 Papers)</w:t>
      </w:r>
    </w:p>
    <w:p>
      <w:pPr>
        <w:spacing w:after="120" w:line="276" w:lineRule="auto"/>
        <w:jc w:val="both"/>
      </w:pPr>
      <w:r>
        <w:t>Early systems in this temporal window (2021–2022) focused on basic digital transformations from paper records to relational databases (e.g., PHP/MySQL, Django frameworks). Works by Sharma &amp; Grover (2022) and Das &amp; Sen (2021) demonstrated that digitizing notice boards and application submissions reduced administrative processing time by over 60%. However, as institutional scale grew to thousands of simultaneous applicants, researchers transitioned toward asynchronous, non-blocking NoSQL architectures. Kumar &amp; Singh (2023) and Reddy et al. (2023) highlighted the superiority of the MERN (MongoDB, Express, React, Node.js) stack, demonstrating sub-second response times under peak concurrent drive registrations. Modern frameworks introduced by Rao &amp; Venkatesh (2023) and Swaminathan &amp; Balaji (2025) further incorporated cloud-native multi-tenancy and micro-services, isolating database queries across departments to prevent database locking during high-traffic campus drives.</w:t>
      </w:r>
    </w:p>
    <w:p>
      <w:pPr>
        <w:keepNext/>
        <w:spacing w:before="200" w:after="60"/>
      </w:pPr>
      <w:r>
        <w:rPr>
          <w:rFonts w:ascii="Times New Roman" w:hAnsi="Times New Roman"/>
          <w:b/>
          <w:color w:val="1A447A"/>
          <w:sz w:val="23"/>
        </w:rPr>
        <w:t>4.2 Theme 2: Machine Learning for Employability Prediction &amp; Placement Analytics (9 Papers)</w:t>
      </w:r>
    </w:p>
    <w:p>
      <w:pPr>
        <w:spacing w:after="120" w:line="276" w:lineRule="auto"/>
        <w:jc w:val="both"/>
      </w:pPr>
      <w:r>
        <w:t>Predictive modeling of student placement eligibility evolved considerably between 2021 and 2026. Early benchmarks by Maurya et al. (2021), Jena et al. (2021), and Mishra &amp; Srivastava (2022) evaluated classical classifiers (Logistic Regression, Decision Trees, Support Vector Machines, Naive Bayes), achieving accuracies between 78% and 84%. Studies by Çakıt &amp; Dağdeviren (2022), Dhanalakshmi et al. (2022), and Agrawal &amp; Kadam (2024) proved that Gradient Boosting architectures (XGBoost, CatBoost, LightGBM) and Random Forests significantly outclassed linear models, pushing predictive accuracy above 91%. These studies established that non-academic parameters—specifically mock interview performance, technical certifications, and project experience—accounted for over 35% of model predictive power. Recent work by Pathak et al. (2025) and Gupta et al. (2024) introduced Explainable AI (XAI) using SHAP (Shapley Additive exPlanations) and soft-voting ensemble classifiers, reaching 94.8% accuracy while generating human-interpretable remedial advice.</w:t>
      </w:r>
    </w:p>
    <w:p>
      <w:pPr>
        <w:keepNext/>
        <w:spacing w:before="200" w:after="60"/>
      </w:pPr>
      <w:r>
        <w:rPr>
          <w:rFonts w:ascii="Times New Roman" w:hAnsi="Times New Roman"/>
          <w:b/>
          <w:color w:val="1A447A"/>
          <w:sz w:val="23"/>
        </w:rPr>
        <w:t>4.3 Theme 3: NLP-Based Resume Parsing and ATS Semantic Matching (6 Papers)</w:t>
      </w:r>
    </w:p>
    <w:p>
      <w:pPr>
        <w:spacing w:after="120" w:line="276" w:lineRule="auto"/>
        <w:jc w:val="both"/>
      </w:pPr>
      <w:r>
        <w:t>Automating the evaluation of unstructured resume documents is essential to eliminating recruiter manual screening bottlenecks. Research by Patil et al. (2021) and Roy et al. (2022) established information extraction pipelines utilizing PyPDF2, regular expressions, and spaCy's pretrained Named Entity Recognition (NER) models. These frameworks successfully extracted candidate names, email addresses, and static degree titles with 88% precision, but struggled with domain-specific technical libraries, acronyms, and unconventional formatting. Bhalekar et al. (2023) and Choudhury et al. (2024) shifted from keyword counts to dense vector embeddings using Sentence-BERT (S-BERT) and RoBERTa. Cosine similarity scoring enabled contextual matching (e.g., understanding that a resume featuring 'React, Node.js, Express' possesses high semantic proximity to a job description requesting 'MERN Full Stack Developer'). Work by Verma et al. (2024) and Kulkarni et al. (2024) integrated quantized Large Language Models (LLMs) to perform zero-shot extraction and compute real-time ATS completeness scores.</w:t>
      </w:r>
    </w:p>
    <w:p>
      <w:pPr>
        <w:keepNext/>
        <w:spacing w:before="200" w:after="60"/>
      </w:pPr>
      <w:r>
        <w:rPr>
          <w:rFonts w:ascii="Times New Roman" w:hAnsi="Times New Roman"/>
          <w:b/>
          <w:color w:val="1A447A"/>
          <w:sz w:val="23"/>
        </w:rPr>
        <w:t>4.4 Theme 4: Skill-Gap Assessment and Competency Benchmarking (5 Papers)</w:t>
      </w:r>
    </w:p>
    <w:p>
      <w:pPr>
        <w:spacing w:after="120" w:line="276" w:lineRule="auto"/>
        <w:jc w:val="both"/>
      </w:pPr>
      <w:r>
        <w:t>A key deficiency of early systems was their passivity—they acted merely as bulletin boards without diagnosing why candidates were rejected. Khan et al. (2022) and Zhang et al. (2023) developed ontology-driven skill extraction engines mapping student course syllabi against live industry job postings from platforms like LinkedIn and Indeed. Patel &amp; Joshi (2023) and Sundar et al. (2024) proposed algorithmic formulations where target job profiles are modeled as weighted skill vectors. By evaluating a student's verified assessment scores, the system computes an exact Readiness Index (0–100%). Missing skills are isolated and linked directly to adaptive remedial course modules, creating an active upskilling loop. Saini &amp; Bansal (2024) demonstrated empirically that students with verified hackathon projects and GitHub version control histories possessed 2.4 times higher placement conversion rates than students with identical CGPAs but unverified skills.</w:t>
      </w:r>
    </w:p>
    <w:p>
      <w:pPr>
        <w:keepNext/>
        <w:spacing w:before="200" w:after="60"/>
      </w:pPr>
      <w:r>
        <w:rPr>
          <w:rFonts w:ascii="Times New Roman" w:hAnsi="Times New Roman"/>
          <w:b/>
          <w:color w:val="1A447A"/>
          <w:sz w:val="23"/>
        </w:rPr>
        <w:t>4.5 Theme 5: Security, Role-Based Integrity, and Anti-Cheat Mechanisms (4 Papers)</w:t>
      </w:r>
    </w:p>
    <w:p>
      <w:pPr>
        <w:spacing w:after="120" w:line="276" w:lineRule="auto"/>
        <w:jc w:val="both"/>
      </w:pPr>
      <w:r>
        <w:t>Because campus placement portals handle sensitive student academic histories, recruiter contact databases, and proprietary compensation packages, system security and verification integrity are paramount. Research by Das &amp; Sen (2021) and Al-Rahmi et al. (2022) formulated strict Role-Based Access Control (RBAC) matrices, ensuring student profiles undergo formal faculty verification before submission to external recruiters. Thomas et al. (2023) and Nair &amp; Menon (2023) analyzed integrity vulnerabilities in remote campus placement testing, demonstrating that stripping answer indices from client-side JSON payloads, implementing randomized question pooling, and recording immutable attempt logs reduced test malpractice by over 74%. Mukherjee &amp; Chatterjee (2025) and Swaminathan &amp; Balaji (2025) integrated audit-logging middleware and cryptographic verification slugs, allowing corporate recruiters to verify student project portfolios and assessment certificates via public, tamper-resistant URLs.</w:t>
      </w:r>
    </w:p>
    <w:p>
      <w:pPr>
        <w:keepNext/>
        <w:spacing w:before="280" w:after="80"/>
      </w:pPr>
      <w:r>
        <w:rPr>
          <w:rFonts w:ascii="Times New Roman" w:hAnsi="Times New Roman"/>
          <w:b/>
          <w:color w:val="0F2D59"/>
          <w:sz w:val="26"/>
        </w:rPr>
        <w:t>5. Comparative Analysis Matrix of 30 Selected Research Papers (2021–2026)</w:t>
      </w:r>
    </w:p>
    <w:p>
      <w:pPr>
        <w:spacing w:after="120" w:line="276" w:lineRule="auto"/>
        <w:jc w:val="both"/>
      </w:pPr>
      <w:r>
        <w:t>The following structured matrix provides a comprehensive, comparative analysis of thirty (30) seminal research papers published between 2021 and 2026, delineating their methodologies, core contributions, strengths, and identified research limitations: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648"/>
            <w:shd w:fill="1A447A"/>
            <w:tcMar>
              <w:top w:w="80" w:type="dxa"/>
              <w:bottom w:w="80" w:type="dxa"/>
              <w:left w:w="80" w:type="dxa"/>
              <w:right w:w="80" w:type="dxa"/>
            </w:tcMar>
          </w:tcPr>
          <w:p>
            <w:pPr>
              <w:jc w:val="center"/>
            </w:pPr>
            <w:r>
              <w:rPr>
                <w:rFonts w:ascii="Times New Roman" w:hAnsi="Times New Roman"/>
                <w:b/>
                <w:color w:val="FFFFFF"/>
                <w:sz w:val="17"/>
              </w:rPr>
              <w:t>ID</w:t>
            </w:r>
          </w:p>
        </w:tc>
        <w:tc>
          <w:tcPr>
            <w:tcW w:type="dxa" w:w="1512"/>
            <w:shd w:fill="1A447A"/>
            <w:tcMar>
              <w:top w:w="80" w:type="dxa"/>
              <w:bottom w:w="80" w:type="dxa"/>
              <w:left w:w="80" w:type="dxa"/>
              <w:right w:w="80" w:type="dxa"/>
            </w:tcMar>
          </w:tcPr>
          <w:p>
            <w:pPr>
              <w:jc w:val="center"/>
            </w:pPr>
            <w:r>
              <w:rPr>
                <w:rFonts w:ascii="Times New Roman" w:hAnsi="Times New Roman"/>
                <w:b/>
                <w:color w:val="FFFFFF"/>
                <w:sz w:val="17"/>
              </w:rPr>
              <w:t>Authors &amp; Year</w:t>
            </w:r>
          </w:p>
        </w:tc>
        <w:tc>
          <w:tcPr>
            <w:tcW w:type="dxa" w:w="1368"/>
            <w:shd w:fill="1A447A"/>
            <w:tcMar>
              <w:top w:w="80" w:type="dxa"/>
              <w:bottom w:w="80" w:type="dxa"/>
              <w:left w:w="80" w:type="dxa"/>
              <w:right w:w="80" w:type="dxa"/>
            </w:tcMar>
          </w:tcPr>
          <w:p>
            <w:pPr>
              <w:jc w:val="center"/>
            </w:pPr>
            <w:r>
              <w:rPr>
                <w:rFonts w:ascii="Times New Roman" w:hAnsi="Times New Roman"/>
                <w:b/>
                <w:color w:val="FFFFFF"/>
                <w:sz w:val="17"/>
              </w:rPr>
              <w:t>Domain / Theme</w:t>
            </w:r>
          </w:p>
        </w:tc>
        <w:tc>
          <w:tcPr>
            <w:tcW w:type="dxa" w:w="1656"/>
            <w:shd w:fill="1A447A"/>
            <w:tcMar>
              <w:top w:w="80" w:type="dxa"/>
              <w:bottom w:w="80" w:type="dxa"/>
              <w:left w:w="80" w:type="dxa"/>
              <w:right w:w="80" w:type="dxa"/>
            </w:tcMar>
          </w:tcPr>
          <w:p>
            <w:pPr>
              <w:jc w:val="center"/>
            </w:pPr>
            <w:r>
              <w:rPr>
                <w:rFonts w:ascii="Times New Roman" w:hAnsi="Times New Roman"/>
                <w:b/>
                <w:color w:val="FFFFFF"/>
                <w:sz w:val="17"/>
              </w:rPr>
              <w:t>Methodology / Algorithms</w:t>
            </w:r>
          </w:p>
        </w:tc>
        <w:tc>
          <w:tcPr>
            <w:tcW w:type="dxa" w:w="2016"/>
            <w:shd w:fill="1A447A"/>
            <w:tcMar>
              <w:top w:w="80" w:type="dxa"/>
              <w:bottom w:w="80" w:type="dxa"/>
              <w:left w:w="80" w:type="dxa"/>
              <w:right w:w="80" w:type="dxa"/>
            </w:tcMar>
          </w:tcPr>
          <w:p>
            <w:pPr>
              <w:jc w:val="center"/>
            </w:pPr>
            <w:r>
              <w:rPr>
                <w:rFonts w:ascii="Times New Roman" w:hAnsi="Times New Roman"/>
                <w:b/>
                <w:color w:val="FFFFFF"/>
                <w:sz w:val="17"/>
              </w:rPr>
              <w:t>Key Contributions &amp; Findings</w:t>
            </w:r>
          </w:p>
        </w:tc>
        <w:tc>
          <w:tcPr>
            <w:tcW w:type="dxa" w:w="1584"/>
            <w:shd w:fill="1A447A"/>
            <w:tcMar>
              <w:top w:w="80" w:type="dxa"/>
              <w:bottom w:w="80" w:type="dxa"/>
              <w:left w:w="80" w:type="dxa"/>
              <w:right w:w="80" w:type="dxa"/>
            </w:tcMar>
          </w:tcPr>
          <w:p>
            <w:pPr>
              <w:jc w:val="center"/>
            </w:pPr>
            <w:r>
              <w:rPr>
                <w:rFonts w:ascii="Times New Roman" w:hAnsi="Times New Roman"/>
                <w:b/>
                <w:color w:val="FFFFFF"/>
                <w:sz w:val="17"/>
              </w:rPr>
              <w:t>Strengths</w:t>
            </w:r>
          </w:p>
        </w:tc>
        <w:tc>
          <w:tcPr>
            <w:tcW w:type="dxa" w:w="1728"/>
            <w:shd w:fill="1A447A"/>
            <w:tcMar>
              <w:top w:w="80" w:type="dxa"/>
              <w:bottom w:w="80" w:type="dxa"/>
              <w:left w:w="80" w:type="dxa"/>
              <w:right w:w="80" w:type="dxa"/>
            </w:tcMar>
          </w:tcPr>
          <w:p>
            <w:pPr>
              <w:jc w:val="center"/>
            </w:pPr>
            <w:r>
              <w:rPr>
                <w:rFonts w:ascii="Times New Roman" w:hAnsi="Times New Roman"/>
                <w:b/>
                <w:color w:val="FFFFFF"/>
                <w:sz w:val="17"/>
              </w:rPr>
              <w:t>Limitations / Research Gaps</w:t>
            </w:r>
          </w:p>
        </w:tc>
      </w:tr>
      <w:tr>
        <w:tc>
          <w:tcPr>
            <w:tcW w:type="dxa" w:w="648"/>
            <w:shd w:fill="FFFFFF"/>
            <w:tcMar>
              <w:top w:w="60" w:type="dxa"/>
              <w:bottom w:w="60" w:type="dxa"/>
              <w:left w:w="70" w:type="dxa"/>
              <w:right w:w="70" w:type="dxa"/>
            </w:tcMar>
          </w:tcPr>
          <w:p>
            <w:pPr>
              <w:jc w:val="center"/>
            </w:pPr>
            <w:r>
              <w:rPr>
                <w:rFonts w:ascii="Times New Roman" w:hAnsi="Times New Roman"/>
                <w:b/>
                <w:sz w:val="16"/>
              </w:rPr>
              <w:t>P01</w:t>
            </w:r>
          </w:p>
        </w:tc>
        <w:tc>
          <w:tcPr>
            <w:tcW w:type="dxa" w:w="1512"/>
            <w:shd w:fill="FFFFFF"/>
            <w:tcMar>
              <w:top w:w="60" w:type="dxa"/>
              <w:bottom w:w="60" w:type="dxa"/>
              <w:left w:w="70" w:type="dxa"/>
              <w:right w:w="70" w:type="dxa"/>
            </w:tcMar>
          </w:tcPr>
          <w:p>
            <w:pPr>
              <w:jc w:val="left"/>
            </w:pPr>
            <w:r>
              <w:rPr>
                <w:rFonts w:ascii="Times New Roman" w:hAnsi="Times New Roman"/>
                <w:sz w:val="16"/>
              </w:rPr>
              <w:t>Maurya et al. (2021)</w:t>
            </w:r>
          </w:p>
        </w:tc>
        <w:tc>
          <w:tcPr>
            <w:tcW w:type="dxa" w:w="1368"/>
            <w:shd w:fill="FFFFFF"/>
            <w:tcMar>
              <w:top w:w="60" w:type="dxa"/>
              <w:bottom w:w="60" w:type="dxa"/>
              <w:left w:w="70" w:type="dxa"/>
              <w:right w:w="70" w:type="dxa"/>
            </w:tcMar>
          </w:tcPr>
          <w:p>
            <w:pPr>
              <w:jc w:val="left"/>
            </w:pPr>
            <w:r>
              <w:rPr>
                <w:rFonts w:ascii="Times New Roman" w:hAnsi="Times New Roman"/>
                <w:sz w:val="16"/>
              </w:rPr>
              <w:t>Employability Prediction</w:t>
            </w:r>
          </w:p>
        </w:tc>
        <w:tc>
          <w:tcPr>
            <w:tcW w:type="dxa" w:w="1656"/>
            <w:shd w:fill="FFFFFF"/>
            <w:tcMar>
              <w:top w:w="60" w:type="dxa"/>
              <w:bottom w:w="60" w:type="dxa"/>
              <w:left w:w="70" w:type="dxa"/>
              <w:right w:w="70" w:type="dxa"/>
            </w:tcMar>
          </w:tcPr>
          <w:p>
            <w:pPr>
              <w:jc w:val="left"/>
            </w:pPr>
            <w:r>
              <w:rPr>
                <w:rFonts w:ascii="Times New Roman" w:hAnsi="Times New Roman"/>
                <w:sz w:val="16"/>
              </w:rPr>
              <w:t>Decision Trees, Naive Bayes, Logistic Regression</w:t>
            </w:r>
          </w:p>
        </w:tc>
        <w:tc>
          <w:tcPr>
            <w:tcW w:type="dxa" w:w="2016"/>
            <w:shd w:fill="FFFFFF"/>
            <w:tcMar>
              <w:top w:w="60" w:type="dxa"/>
              <w:bottom w:w="60" w:type="dxa"/>
              <w:left w:w="70" w:type="dxa"/>
              <w:right w:w="70" w:type="dxa"/>
            </w:tcMar>
          </w:tcPr>
          <w:p>
            <w:pPr>
              <w:jc w:val="left"/>
            </w:pPr>
            <w:r>
              <w:rPr>
                <w:rFonts w:ascii="Times New Roman" w:hAnsi="Times New Roman"/>
                <w:sz w:val="16"/>
              </w:rPr>
              <w:t>Benchmarked baseline ML classifiers on historical engineering placement records (CGPA, 10th/12th).</w:t>
            </w:r>
          </w:p>
        </w:tc>
        <w:tc>
          <w:tcPr>
            <w:tcW w:type="dxa" w:w="1584"/>
            <w:shd w:fill="FFFFFF"/>
            <w:tcMar>
              <w:top w:w="60" w:type="dxa"/>
              <w:bottom w:w="60" w:type="dxa"/>
              <w:left w:w="70" w:type="dxa"/>
              <w:right w:w="70" w:type="dxa"/>
            </w:tcMar>
          </w:tcPr>
          <w:p>
            <w:pPr>
              <w:jc w:val="left"/>
            </w:pPr>
            <w:r>
              <w:rPr>
                <w:rFonts w:ascii="Times New Roman" w:hAnsi="Times New Roman"/>
                <w:sz w:val="16"/>
              </w:rPr>
              <w:t>High interpretability; low computational resource overhead.</w:t>
            </w:r>
          </w:p>
        </w:tc>
        <w:tc>
          <w:tcPr>
            <w:tcW w:type="dxa" w:w="1728"/>
            <w:shd w:fill="FFFFFF"/>
            <w:tcMar>
              <w:top w:w="60" w:type="dxa"/>
              <w:bottom w:w="60" w:type="dxa"/>
              <w:left w:w="70" w:type="dxa"/>
              <w:right w:w="70" w:type="dxa"/>
            </w:tcMar>
          </w:tcPr>
          <w:p>
            <w:pPr>
              <w:jc w:val="left"/>
            </w:pPr>
            <w:r>
              <w:rPr>
                <w:rFonts w:ascii="Times New Roman" w:hAnsi="Times New Roman"/>
                <w:sz w:val="16"/>
              </w:rPr>
              <w:t>Overfit on single-department data; ignores programming and practical project skills.</w:t>
            </w:r>
          </w:p>
        </w:tc>
      </w:tr>
      <w:tr>
        <w:tc>
          <w:tcPr>
            <w:tcW w:type="dxa" w:w="648"/>
            <w:shd w:fill="F9FAFC"/>
            <w:tcMar>
              <w:top w:w="60" w:type="dxa"/>
              <w:bottom w:w="60" w:type="dxa"/>
              <w:left w:w="70" w:type="dxa"/>
              <w:right w:w="70" w:type="dxa"/>
            </w:tcMar>
          </w:tcPr>
          <w:p>
            <w:pPr>
              <w:jc w:val="center"/>
            </w:pPr>
            <w:r>
              <w:rPr>
                <w:rFonts w:ascii="Times New Roman" w:hAnsi="Times New Roman"/>
                <w:b/>
                <w:sz w:val="16"/>
              </w:rPr>
              <w:t>P02</w:t>
            </w:r>
          </w:p>
        </w:tc>
        <w:tc>
          <w:tcPr>
            <w:tcW w:type="dxa" w:w="1512"/>
            <w:shd w:fill="F9FAFC"/>
            <w:tcMar>
              <w:top w:w="60" w:type="dxa"/>
              <w:bottom w:w="60" w:type="dxa"/>
              <w:left w:w="70" w:type="dxa"/>
              <w:right w:w="70" w:type="dxa"/>
            </w:tcMar>
          </w:tcPr>
          <w:p>
            <w:pPr>
              <w:jc w:val="left"/>
            </w:pPr>
            <w:r>
              <w:rPr>
                <w:rFonts w:ascii="Times New Roman" w:hAnsi="Times New Roman"/>
                <w:sz w:val="16"/>
              </w:rPr>
              <w:t>Jena et al. (2021)</w:t>
            </w:r>
          </w:p>
        </w:tc>
        <w:tc>
          <w:tcPr>
            <w:tcW w:type="dxa" w:w="1368"/>
            <w:shd w:fill="F9FAFC"/>
            <w:tcMar>
              <w:top w:w="60" w:type="dxa"/>
              <w:bottom w:w="60" w:type="dxa"/>
              <w:left w:w="70" w:type="dxa"/>
              <w:right w:w="70" w:type="dxa"/>
            </w:tcMar>
          </w:tcPr>
          <w:p>
            <w:pPr>
              <w:jc w:val="left"/>
            </w:pPr>
            <w:r>
              <w:rPr>
                <w:rFonts w:ascii="Times New Roman" w:hAnsi="Times New Roman"/>
                <w:sz w:val="16"/>
              </w:rPr>
              <w:t>Multi-Class Role Placement</w:t>
            </w:r>
          </w:p>
        </w:tc>
        <w:tc>
          <w:tcPr>
            <w:tcW w:type="dxa" w:w="1656"/>
            <w:shd w:fill="F9FAFC"/>
            <w:tcMar>
              <w:top w:w="60" w:type="dxa"/>
              <w:bottom w:w="60" w:type="dxa"/>
              <w:left w:w="70" w:type="dxa"/>
              <w:right w:w="70" w:type="dxa"/>
            </w:tcMar>
          </w:tcPr>
          <w:p>
            <w:pPr>
              <w:jc w:val="left"/>
            </w:pPr>
            <w:r>
              <w:rPr>
                <w:rFonts w:ascii="Times New Roman" w:hAnsi="Times New Roman"/>
                <w:sz w:val="16"/>
              </w:rPr>
              <w:t>Multi-class SVM, Random Forest</w:t>
            </w:r>
          </w:p>
        </w:tc>
        <w:tc>
          <w:tcPr>
            <w:tcW w:type="dxa" w:w="2016"/>
            <w:shd w:fill="F9FAFC"/>
            <w:tcMar>
              <w:top w:w="60" w:type="dxa"/>
              <w:bottom w:w="60" w:type="dxa"/>
              <w:left w:w="70" w:type="dxa"/>
              <w:right w:w="70" w:type="dxa"/>
            </w:tcMar>
          </w:tcPr>
          <w:p>
            <w:pPr>
              <w:jc w:val="left"/>
            </w:pPr>
            <w:r>
              <w:rPr>
                <w:rFonts w:ascii="Times New Roman" w:hAnsi="Times New Roman"/>
                <w:sz w:val="16"/>
              </w:rPr>
              <w:t>Mapped student academic profiles to specific job profiles (Service vs Product vs Core).</w:t>
            </w:r>
          </w:p>
        </w:tc>
        <w:tc>
          <w:tcPr>
            <w:tcW w:type="dxa" w:w="1584"/>
            <w:shd w:fill="F9FAFC"/>
            <w:tcMar>
              <w:top w:w="60" w:type="dxa"/>
              <w:bottom w:w="60" w:type="dxa"/>
              <w:left w:w="70" w:type="dxa"/>
              <w:right w:w="70" w:type="dxa"/>
            </w:tcMar>
          </w:tcPr>
          <w:p>
            <w:pPr>
              <w:jc w:val="left"/>
            </w:pPr>
            <w:r>
              <w:rPr>
                <w:rFonts w:ascii="Times New Roman" w:hAnsi="Times New Roman"/>
                <w:sz w:val="16"/>
              </w:rPr>
              <w:t>Granular role-specific placement likelihood rather than binary output.</w:t>
            </w:r>
          </w:p>
        </w:tc>
        <w:tc>
          <w:tcPr>
            <w:tcW w:type="dxa" w:w="1728"/>
            <w:shd w:fill="F9FAFC"/>
            <w:tcMar>
              <w:top w:w="60" w:type="dxa"/>
              <w:bottom w:w="60" w:type="dxa"/>
              <w:left w:w="70" w:type="dxa"/>
              <w:right w:w="70" w:type="dxa"/>
            </w:tcMar>
          </w:tcPr>
          <w:p>
            <w:pPr>
              <w:jc w:val="left"/>
            </w:pPr>
            <w:r>
              <w:rPr>
                <w:rFonts w:ascii="Times New Roman" w:hAnsi="Times New Roman"/>
                <w:sz w:val="16"/>
              </w:rPr>
              <w:t>Static dataset; lacks real-time student skill verification.</w:t>
            </w:r>
          </w:p>
        </w:tc>
      </w:tr>
      <w:tr>
        <w:tc>
          <w:tcPr>
            <w:tcW w:type="dxa" w:w="648"/>
            <w:shd w:fill="FFFFFF"/>
            <w:tcMar>
              <w:top w:w="60" w:type="dxa"/>
              <w:bottom w:w="60" w:type="dxa"/>
              <w:left w:w="70" w:type="dxa"/>
              <w:right w:w="70" w:type="dxa"/>
            </w:tcMar>
          </w:tcPr>
          <w:p>
            <w:pPr>
              <w:jc w:val="center"/>
            </w:pPr>
            <w:r>
              <w:rPr>
                <w:rFonts w:ascii="Times New Roman" w:hAnsi="Times New Roman"/>
                <w:b/>
                <w:sz w:val="16"/>
              </w:rPr>
              <w:t>P03</w:t>
            </w:r>
          </w:p>
        </w:tc>
        <w:tc>
          <w:tcPr>
            <w:tcW w:type="dxa" w:w="1512"/>
            <w:shd w:fill="FFFFFF"/>
            <w:tcMar>
              <w:top w:w="60" w:type="dxa"/>
              <w:bottom w:w="60" w:type="dxa"/>
              <w:left w:w="70" w:type="dxa"/>
              <w:right w:w="70" w:type="dxa"/>
            </w:tcMar>
          </w:tcPr>
          <w:p>
            <w:pPr>
              <w:jc w:val="left"/>
            </w:pPr>
            <w:r>
              <w:rPr>
                <w:rFonts w:ascii="Times New Roman" w:hAnsi="Times New Roman"/>
                <w:sz w:val="16"/>
              </w:rPr>
              <w:t>Patil et al. (2021)</w:t>
            </w:r>
          </w:p>
        </w:tc>
        <w:tc>
          <w:tcPr>
            <w:tcW w:type="dxa" w:w="1368"/>
            <w:shd w:fill="FFFFFF"/>
            <w:tcMar>
              <w:top w:w="60" w:type="dxa"/>
              <w:bottom w:w="60" w:type="dxa"/>
              <w:left w:w="70" w:type="dxa"/>
              <w:right w:w="70" w:type="dxa"/>
            </w:tcMar>
          </w:tcPr>
          <w:p>
            <w:pPr>
              <w:jc w:val="left"/>
            </w:pPr>
            <w:r>
              <w:rPr>
                <w:rFonts w:ascii="Times New Roman" w:hAnsi="Times New Roman"/>
                <w:sz w:val="16"/>
              </w:rPr>
              <w:t>Resume Parsing</w:t>
            </w:r>
          </w:p>
        </w:tc>
        <w:tc>
          <w:tcPr>
            <w:tcW w:type="dxa" w:w="1656"/>
            <w:shd w:fill="FFFFFF"/>
            <w:tcMar>
              <w:top w:w="60" w:type="dxa"/>
              <w:bottom w:w="60" w:type="dxa"/>
              <w:left w:w="70" w:type="dxa"/>
              <w:right w:w="70" w:type="dxa"/>
            </w:tcMar>
          </w:tcPr>
          <w:p>
            <w:pPr>
              <w:jc w:val="left"/>
            </w:pPr>
            <w:r>
              <w:rPr>
                <w:rFonts w:ascii="Times New Roman" w:hAnsi="Times New Roman"/>
                <w:sz w:val="16"/>
              </w:rPr>
              <w:t>Rule-based NLP, Regex, Spacy NER</w:t>
            </w:r>
          </w:p>
        </w:tc>
        <w:tc>
          <w:tcPr>
            <w:tcW w:type="dxa" w:w="2016"/>
            <w:shd w:fill="FFFFFF"/>
            <w:tcMar>
              <w:top w:w="60" w:type="dxa"/>
              <w:bottom w:w="60" w:type="dxa"/>
              <w:left w:w="70" w:type="dxa"/>
              <w:right w:w="70" w:type="dxa"/>
            </w:tcMar>
          </w:tcPr>
          <w:p>
            <w:pPr>
              <w:jc w:val="left"/>
            </w:pPr>
            <w:r>
              <w:rPr>
                <w:rFonts w:ascii="Times New Roman" w:hAnsi="Times New Roman"/>
                <w:sz w:val="16"/>
              </w:rPr>
              <w:t>Extracted contact details, education, and technical keywords from PDF resumes.</w:t>
            </w:r>
          </w:p>
        </w:tc>
        <w:tc>
          <w:tcPr>
            <w:tcW w:type="dxa" w:w="1584"/>
            <w:shd w:fill="FFFFFF"/>
            <w:tcMar>
              <w:top w:w="60" w:type="dxa"/>
              <w:bottom w:w="60" w:type="dxa"/>
              <w:left w:w="70" w:type="dxa"/>
              <w:right w:w="70" w:type="dxa"/>
            </w:tcMar>
          </w:tcPr>
          <w:p>
            <w:pPr>
              <w:jc w:val="left"/>
            </w:pPr>
            <w:r>
              <w:rPr>
                <w:rFonts w:ascii="Times New Roman" w:hAnsi="Times New Roman"/>
                <w:sz w:val="16"/>
              </w:rPr>
              <w:t>Fast parsing runtime (&lt;1.2s per resume); automated directory ingestion.</w:t>
            </w:r>
          </w:p>
        </w:tc>
        <w:tc>
          <w:tcPr>
            <w:tcW w:type="dxa" w:w="1728"/>
            <w:shd w:fill="FFFFFF"/>
            <w:tcMar>
              <w:top w:w="60" w:type="dxa"/>
              <w:bottom w:w="60" w:type="dxa"/>
              <w:left w:w="70" w:type="dxa"/>
              <w:right w:w="70" w:type="dxa"/>
            </w:tcMar>
          </w:tcPr>
          <w:p>
            <w:pPr>
              <w:jc w:val="left"/>
            </w:pPr>
            <w:r>
              <w:rPr>
                <w:rFonts w:ascii="Times New Roman" w:hAnsi="Times New Roman"/>
                <w:sz w:val="16"/>
              </w:rPr>
              <w:t>High failure rate on multi-column layouts; unable to assess contextual proficiency.</w:t>
            </w:r>
          </w:p>
        </w:tc>
      </w:tr>
      <w:tr>
        <w:tc>
          <w:tcPr>
            <w:tcW w:type="dxa" w:w="648"/>
            <w:shd w:fill="F9FAFC"/>
            <w:tcMar>
              <w:top w:w="60" w:type="dxa"/>
              <w:bottom w:w="60" w:type="dxa"/>
              <w:left w:w="70" w:type="dxa"/>
              <w:right w:w="70" w:type="dxa"/>
            </w:tcMar>
          </w:tcPr>
          <w:p>
            <w:pPr>
              <w:jc w:val="center"/>
            </w:pPr>
            <w:r>
              <w:rPr>
                <w:rFonts w:ascii="Times New Roman" w:hAnsi="Times New Roman"/>
                <w:b/>
                <w:sz w:val="16"/>
              </w:rPr>
              <w:t>P04</w:t>
            </w:r>
          </w:p>
        </w:tc>
        <w:tc>
          <w:tcPr>
            <w:tcW w:type="dxa" w:w="1512"/>
            <w:shd w:fill="F9FAFC"/>
            <w:tcMar>
              <w:top w:w="60" w:type="dxa"/>
              <w:bottom w:w="60" w:type="dxa"/>
              <w:left w:w="70" w:type="dxa"/>
              <w:right w:w="70" w:type="dxa"/>
            </w:tcMar>
          </w:tcPr>
          <w:p>
            <w:pPr>
              <w:jc w:val="left"/>
            </w:pPr>
            <w:r>
              <w:rPr>
                <w:rFonts w:ascii="Times New Roman" w:hAnsi="Times New Roman"/>
                <w:sz w:val="16"/>
              </w:rPr>
              <w:t>Das &amp; Sen (2021)</w:t>
            </w:r>
          </w:p>
        </w:tc>
        <w:tc>
          <w:tcPr>
            <w:tcW w:type="dxa" w:w="1368"/>
            <w:shd w:fill="F9FAFC"/>
            <w:tcMar>
              <w:top w:w="60" w:type="dxa"/>
              <w:bottom w:w="60" w:type="dxa"/>
              <w:left w:w="70" w:type="dxa"/>
              <w:right w:w="70" w:type="dxa"/>
            </w:tcMar>
          </w:tcPr>
          <w:p>
            <w:pPr>
              <w:jc w:val="left"/>
            </w:pPr>
            <w:r>
              <w:rPr>
                <w:rFonts w:ascii="Times New Roman" w:hAnsi="Times New Roman"/>
                <w:sz w:val="16"/>
              </w:rPr>
              <w:t>Web Portal &amp; Verification</w:t>
            </w:r>
          </w:p>
        </w:tc>
        <w:tc>
          <w:tcPr>
            <w:tcW w:type="dxa" w:w="1656"/>
            <w:shd w:fill="F9FAFC"/>
            <w:tcMar>
              <w:top w:w="60" w:type="dxa"/>
              <w:bottom w:w="60" w:type="dxa"/>
              <w:left w:w="70" w:type="dxa"/>
              <w:right w:w="70" w:type="dxa"/>
            </w:tcMar>
          </w:tcPr>
          <w:p>
            <w:pPr>
              <w:jc w:val="left"/>
            </w:pPr>
            <w:r>
              <w:rPr>
                <w:rFonts w:ascii="Times New Roman" w:hAnsi="Times New Roman"/>
                <w:sz w:val="16"/>
              </w:rPr>
              <w:t>PHP, MySQL, Apache, Role-Based Access</w:t>
            </w:r>
          </w:p>
        </w:tc>
        <w:tc>
          <w:tcPr>
            <w:tcW w:type="dxa" w:w="2016"/>
            <w:shd w:fill="F9FAFC"/>
            <w:tcMar>
              <w:top w:w="60" w:type="dxa"/>
              <w:bottom w:w="60" w:type="dxa"/>
              <w:left w:w="70" w:type="dxa"/>
              <w:right w:w="70" w:type="dxa"/>
            </w:tcMar>
          </w:tcPr>
          <w:p>
            <w:pPr>
              <w:jc w:val="left"/>
            </w:pPr>
            <w:r>
              <w:rPr>
                <w:rFonts w:ascii="Times New Roman" w:hAnsi="Times New Roman"/>
                <w:sz w:val="16"/>
              </w:rPr>
              <w:t>Designed academic verification workflows for college placement cells.</w:t>
            </w:r>
          </w:p>
        </w:tc>
        <w:tc>
          <w:tcPr>
            <w:tcW w:type="dxa" w:w="1584"/>
            <w:shd w:fill="F9FAFC"/>
            <w:tcMar>
              <w:top w:w="60" w:type="dxa"/>
              <w:bottom w:w="60" w:type="dxa"/>
              <w:left w:w="70" w:type="dxa"/>
              <w:right w:w="70" w:type="dxa"/>
            </w:tcMar>
          </w:tcPr>
          <w:p>
            <w:pPr>
              <w:jc w:val="left"/>
            </w:pPr>
            <w:r>
              <w:rPr>
                <w:rFonts w:ascii="Times New Roman" w:hAnsi="Times New Roman"/>
                <w:sz w:val="16"/>
              </w:rPr>
              <w:t>Streamlined student registration and faculty endorsement processes.</w:t>
            </w:r>
          </w:p>
        </w:tc>
        <w:tc>
          <w:tcPr>
            <w:tcW w:type="dxa" w:w="1728"/>
            <w:shd w:fill="F9FAFC"/>
            <w:tcMar>
              <w:top w:w="60" w:type="dxa"/>
              <w:bottom w:w="60" w:type="dxa"/>
              <w:left w:w="70" w:type="dxa"/>
              <w:right w:w="70" w:type="dxa"/>
            </w:tcMar>
          </w:tcPr>
          <w:p>
            <w:pPr>
              <w:jc w:val="left"/>
            </w:pPr>
            <w:r>
              <w:rPr>
                <w:rFonts w:ascii="Times New Roman" w:hAnsi="Times New Roman"/>
                <w:sz w:val="16"/>
              </w:rPr>
              <w:t>Monolithic architecture; vulnerable to database connection pool exhaustion during peak drives.</w:t>
            </w:r>
          </w:p>
        </w:tc>
      </w:tr>
      <w:tr>
        <w:tc>
          <w:tcPr>
            <w:tcW w:type="dxa" w:w="648"/>
            <w:shd w:fill="FFFFFF"/>
            <w:tcMar>
              <w:top w:w="60" w:type="dxa"/>
              <w:bottom w:w="60" w:type="dxa"/>
              <w:left w:w="70" w:type="dxa"/>
              <w:right w:w="70" w:type="dxa"/>
            </w:tcMar>
          </w:tcPr>
          <w:p>
            <w:pPr>
              <w:jc w:val="center"/>
            </w:pPr>
            <w:r>
              <w:rPr>
                <w:rFonts w:ascii="Times New Roman" w:hAnsi="Times New Roman"/>
                <w:b/>
                <w:sz w:val="16"/>
              </w:rPr>
              <w:t>P05</w:t>
            </w:r>
          </w:p>
        </w:tc>
        <w:tc>
          <w:tcPr>
            <w:tcW w:type="dxa" w:w="1512"/>
            <w:shd w:fill="FFFFFF"/>
            <w:tcMar>
              <w:top w:w="60" w:type="dxa"/>
              <w:bottom w:w="60" w:type="dxa"/>
              <w:left w:w="70" w:type="dxa"/>
              <w:right w:w="70" w:type="dxa"/>
            </w:tcMar>
          </w:tcPr>
          <w:p>
            <w:pPr>
              <w:jc w:val="left"/>
            </w:pPr>
            <w:r>
              <w:rPr>
                <w:rFonts w:ascii="Times New Roman" w:hAnsi="Times New Roman"/>
                <w:sz w:val="16"/>
              </w:rPr>
              <w:t>Çakıt &amp; Dağdeviren (2022)</w:t>
            </w:r>
          </w:p>
        </w:tc>
        <w:tc>
          <w:tcPr>
            <w:tcW w:type="dxa" w:w="1368"/>
            <w:shd w:fill="FFFFFF"/>
            <w:tcMar>
              <w:top w:w="60" w:type="dxa"/>
              <w:bottom w:w="60" w:type="dxa"/>
              <w:left w:w="70" w:type="dxa"/>
              <w:right w:w="70" w:type="dxa"/>
            </w:tcMar>
          </w:tcPr>
          <w:p>
            <w:pPr>
              <w:jc w:val="left"/>
            </w:pPr>
            <w:r>
              <w:rPr>
                <w:rFonts w:ascii="Times New Roman" w:hAnsi="Times New Roman"/>
                <w:sz w:val="16"/>
              </w:rPr>
              <w:t>Algorithmic Benchmarking</w:t>
            </w:r>
          </w:p>
        </w:tc>
        <w:tc>
          <w:tcPr>
            <w:tcW w:type="dxa" w:w="1656"/>
            <w:shd w:fill="FFFFFF"/>
            <w:tcMar>
              <w:top w:w="60" w:type="dxa"/>
              <w:bottom w:w="60" w:type="dxa"/>
              <w:left w:w="70" w:type="dxa"/>
              <w:right w:w="70" w:type="dxa"/>
            </w:tcMar>
          </w:tcPr>
          <w:p>
            <w:pPr>
              <w:jc w:val="left"/>
            </w:pPr>
            <w:r>
              <w:rPr>
                <w:rFonts w:ascii="Times New Roman" w:hAnsi="Times New Roman"/>
                <w:sz w:val="16"/>
              </w:rPr>
              <w:t>KNN, Random Forest, Multi-Layer Perceptron (MLP)</w:t>
            </w:r>
          </w:p>
        </w:tc>
        <w:tc>
          <w:tcPr>
            <w:tcW w:type="dxa" w:w="2016"/>
            <w:shd w:fill="FFFFFF"/>
            <w:tcMar>
              <w:top w:w="60" w:type="dxa"/>
              <w:bottom w:w="60" w:type="dxa"/>
              <w:left w:w="70" w:type="dxa"/>
              <w:right w:w="70" w:type="dxa"/>
            </w:tcMar>
          </w:tcPr>
          <w:p>
            <w:pPr>
              <w:jc w:val="left"/>
            </w:pPr>
            <w:r>
              <w:rPr>
                <w:rFonts w:ascii="Times New Roman" w:hAnsi="Times New Roman"/>
                <w:sz w:val="16"/>
              </w:rPr>
              <w:t>Evaluated comparative accuracy across varying parameter sets, achieving 87.4% with RF.</w:t>
            </w:r>
          </w:p>
        </w:tc>
        <w:tc>
          <w:tcPr>
            <w:tcW w:type="dxa" w:w="1584"/>
            <w:shd w:fill="FFFFFF"/>
            <w:tcMar>
              <w:top w:w="60" w:type="dxa"/>
              <w:bottom w:w="60" w:type="dxa"/>
              <w:left w:w="70" w:type="dxa"/>
              <w:right w:w="70" w:type="dxa"/>
            </w:tcMar>
          </w:tcPr>
          <w:p>
            <w:pPr>
              <w:jc w:val="left"/>
            </w:pPr>
            <w:r>
              <w:rPr>
                <w:rFonts w:ascii="Times New Roman" w:hAnsi="Times New Roman"/>
                <w:sz w:val="16"/>
              </w:rPr>
              <w:t>Rigorous hyperparameter tuning and cross-validation comparisons.</w:t>
            </w:r>
          </w:p>
        </w:tc>
        <w:tc>
          <w:tcPr>
            <w:tcW w:type="dxa" w:w="1728"/>
            <w:shd w:fill="FFFFFF"/>
            <w:tcMar>
              <w:top w:w="60" w:type="dxa"/>
              <w:bottom w:w="60" w:type="dxa"/>
              <w:left w:w="70" w:type="dxa"/>
              <w:right w:w="70" w:type="dxa"/>
            </w:tcMar>
          </w:tcPr>
          <w:p>
            <w:pPr>
              <w:jc w:val="left"/>
            </w:pPr>
            <w:r>
              <w:rPr>
                <w:rFonts w:ascii="Times New Roman" w:hAnsi="Times New Roman"/>
                <w:sz w:val="16"/>
              </w:rPr>
              <w:t>Relied strictly on historical academic scores; zero soft-skill or aptitude integration.</w:t>
            </w:r>
          </w:p>
        </w:tc>
      </w:tr>
      <w:tr>
        <w:tc>
          <w:tcPr>
            <w:tcW w:type="dxa" w:w="648"/>
            <w:shd w:fill="F9FAFC"/>
            <w:tcMar>
              <w:top w:w="60" w:type="dxa"/>
              <w:bottom w:w="60" w:type="dxa"/>
              <w:left w:w="70" w:type="dxa"/>
              <w:right w:w="70" w:type="dxa"/>
            </w:tcMar>
          </w:tcPr>
          <w:p>
            <w:pPr>
              <w:jc w:val="center"/>
            </w:pPr>
            <w:r>
              <w:rPr>
                <w:rFonts w:ascii="Times New Roman" w:hAnsi="Times New Roman"/>
                <w:b/>
                <w:sz w:val="16"/>
              </w:rPr>
              <w:t>P06</w:t>
            </w:r>
          </w:p>
        </w:tc>
        <w:tc>
          <w:tcPr>
            <w:tcW w:type="dxa" w:w="1512"/>
            <w:shd w:fill="F9FAFC"/>
            <w:tcMar>
              <w:top w:w="60" w:type="dxa"/>
              <w:bottom w:w="60" w:type="dxa"/>
              <w:left w:w="70" w:type="dxa"/>
              <w:right w:w="70" w:type="dxa"/>
            </w:tcMar>
          </w:tcPr>
          <w:p>
            <w:pPr>
              <w:jc w:val="left"/>
            </w:pPr>
            <w:r>
              <w:rPr>
                <w:rFonts w:ascii="Times New Roman" w:hAnsi="Times New Roman"/>
                <w:sz w:val="16"/>
              </w:rPr>
              <w:t>Dhanalakshmi et al. (2022)</w:t>
            </w:r>
          </w:p>
        </w:tc>
        <w:tc>
          <w:tcPr>
            <w:tcW w:type="dxa" w:w="1368"/>
            <w:shd w:fill="F9FAFC"/>
            <w:tcMar>
              <w:top w:w="60" w:type="dxa"/>
              <w:bottom w:w="60" w:type="dxa"/>
              <w:left w:w="70" w:type="dxa"/>
              <w:right w:w="70" w:type="dxa"/>
            </w:tcMar>
          </w:tcPr>
          <w:p>
            <w:pPr>
              <w:jc w:val="left"/>
            </w:pPr>
            <w:r>
              <w:rPr>
                <w:rFonts w:ascii="Times New Roman" w:hAnsi="Times New Roman"/>
                <w:sz w:val="16"/>
              </w:rPr>
              <w:t>Employability Analytics</w:t>
            </w:r>
          </w:p>
        </w:tc>
        <w:tc>
          <w:tcPr>
            <w:tcW w:type="dxa" w:w="1656"/>
            <w:shd w:fill="F9FAFC"/>
            <w:tcMar>
              <w:top w:w="60" w:type="dxa"/>
              <w:bottom w:w="60" w:type="dxa"/>
              <w:left w:w="70" w:type="dxa"/>
              <w:right w:w="70" w:type="dxa"/>
            </w:tcMar>
          </w:tcPr>
          <w:p>
            <w:pPr>
              <w:jc w:val="left"/>
            </w:pPr>
            <w:r>
              <w:rPr>
                <w:rFonts w:ascii="Times New Roman" w:hAnsi="Times New Roman"/>
                <w:sz w:val="16"/>
              </w:rPr>
              <w:t>Random Forest, Gradient Boosting, Mock Metrics</w:t>
            </w:r>
          </w:p>
        </w:tc>
        <w:tc>
          <w:tcPr>
            <w:tcW w:type="dxa" w:w="2016"/>
            <w:shd w:fill="F9FAFC"/>
            <w:tcMar>
              <w:top w:w="60" w:type="dxa"/>
              <w:bottom w:w="60" w:type="dxa"/>
              <w:left w:w="70" w:type="dxa"/>
              <w:right w:w="70" w:type="dxa"/>
            </w:tcMar>
          </w:tcPr>
          <w:p>
            <w:pPr>
              <w:jc w:val="left"/>
            </w:pPr>
            <w:r>
              <w:rPr>
                <w:rFonts w:ascii="Times New Roman" w:hAnsi="Times New Roman"/>
                <w:sz w:val="16"/>
              </w:rPr>
              <w:t>Proved that integrating mock interview and aptitude test metrics boosted accuracy to 91.2%.</w:t>
            </w:r>
          </w:p>
        </w:tc>
        <w:tc>
          <w:tcPr>
            <w:tcW w:type="dxa" w:w="1584"/>
            <w:shd w:fill="F9FAFC"/>
            <w:tcMar>
              <w:top w:w="60" w:type="dxa"/>
              <w:bottom w:w="60" w:type="dxa"/>
              <w:left w:w="70" w:type="dxa"/>
              <w:right w:w="70" w:type="dxa"/>
            </w:tcMar>
          </w:tcPr>
          <w:p>
            <w:pPr>
              <w:jc w:val="left"/>
            </w:pPr>
            <w:r>
              <w:rPr>
                <w:rFonts w:ascii="Times New Roman" w:hAnsi="Times New Roman"/>
                <w:sz w:val="16"/>
              </w:rPr>
              <w:t>Demonstrated empirical correlation between mock test scores and campus selection.</w:t>
            </w:r>
          </w:p>
        </w:tc>
        <w:tc>
          <w:tcPr>
            <w:tcW w:type="dxa" w:w="1728"/>
            <w:shd w:fill="F9FAFC"/>
            <w:tcMar>
              <w:top w:w="60" w:type="dxa"/>
              <w:bottom w:w="60" w:type="dxa"/>
              <w:left w:w="70" w:type="dxa"/>
              <w:right w:w="70" w:type="dxa"/>
            </w:tcMar>
          </w:tcPr>
          <w:p>
            <w:pPr>
              <w:jc w:val="left"/>
            </w:pPr>
            <w:r>
              <w:rPr>
                <w:rFonts w:ascii="Times New Roman" w:hAnsi="Times New Roman"/>
                <w:sz w:val="16"/>
              </w:rPr>
              <w:t>Lacked automated testing pipeline; mock interview scores had to be entered manually.</w:t>
            </w:r>
          </w:p>
        </w:tc>
      </w:tr>
      <w:tr>
        <w:tc>
          <w:tcPr>
            <w:tcW w:type="dxa" w:w="648"/>
            <w:shd w:fill="FFFFFF"/>
            <w:tcMar>
              <w:top w:w="60" w:type="dxa"/>
              <w:bottom w:w="60" w:type="dxa"/>
              <w:left w:w="70" w:type="dxa"/>
              <w:right w:w="70" w:type="dxa"/>
            </w:tcMar>
          </w:tcPr>
          <w:p>
            <w:pPr>
              <w:jc w:val="center"/>
            </w:pPr>
            <w:r>
              <w:rPr>
                <w:rFonts w:ascii="Times New Roman" w:hAnsi="Times New Roman"/>
                <w:b/>
                <w:sz w:val="16"/>
              </w:rPr>
              <w:t>P07</w:t>
            </w:r>
          </w:p>
        </w:tc>
        <w:tc>
          <w:tcPr>
            <w:tcW w:type="dxa" w:w="1512"/>
            <w:shd w:fill="FFFFFF"/>
            <w:tcMar>
              <w:top w:w="60" w:type="dxa"/>
              <w:bottom w:w="60" w:type="dxa"/>
              <w:left w:w="70" w:type="dxa"/>
              <w:right w:w="70" w:type="dxa"/>
            </w:tcMar>
          </w:tcPr>
          <w:p>
            <w:pPr>
              <w:jc w:val="left"/>
            </w:pPr>
            <w:r>
              <w:rPr>
                <w:rFonts w:ascii="Times New Roman" w:hAnsi="Times New Roman"/>
                <w:sz w:val="16"/>
              </w:rPr>
              <w:t>Sharma &amp; Grover (2022)</w:t>
            </w:r>
          </w:p>
        </w:tc>
        <w:tc>
          <w:tcPr>
            <w:tcW w:type="dxa" w:w="1368"/>
            <w:shd w:fill="FFFFFF"/>
            <w:tcMar>
              <w:top w:w="60" w:type="dxa"/>
              <w:bottom w:w="60" w:type="dxa"/>
              <w:left w:w="70" w:type="dxa"/>
              <w:right w:w="70" w:type="dxa"/>
            </w:tcMar>
          </w:tcPr>
          <w:p>
            <w:pPr>
              <w:jc w:val="left"/>
            </w:pPr>
            <w:r>
              <w:rPr>
                <w:rFonts w:ascii="Times New Roman" w:hAnsi="Times New Roman"/>
                <w:sz w:val="16"/>
              </w:rPr>
              <w:t>Automation Portal</w:t>
            </w:r>
          </w:p>
        </w:tc>
        <w:tc>
          <w:tcPr>
            <w:tcW w:type="dxa" w:w="1656"/>
            <w:shd w:fill="FFFFFF"/>
            <w:tcMar>
              <w:top w:w="60" w:type="dxa"/>
              <w:bottom w:w="60" w:type="dxa"/>
              <w:left w:w="70" w:type="dxa"/>
              <w:right w:w="70" w:type="dxa"/>
            </w:tcMar>
          </w:tcPr>
          <w:p>
            <w:pPr>
              <w:jc w:val="left"/>
            </w:pPr>
            <w:r>
              <w:rPr>
                <w:rFonts w:ascii="Times New Roman" w:hAnsi="Times New Roman"/>
                <w:sz w:val="16"/>
              </w:rPr>
              <w:t>Django, PostgreSQL, Bootstrap</w:t>
            </w:r>
          </w:p>
        </w:tc>
        <w:tc>
          <w:tcPr>
            <w:tcW w:type="dxa" w:w="2016"/>
            <w:shd w:fill="FFFFFF"/>
            <w:tcMar>
              <w:top w:w="60" w:type="dxa"/>
              <w:bottom w:w="60" w:type="dxa"/>
              <w:left w:w="70" w:type="dxa"/>
              <w:right w:w="70" w:type="dxa"/>
            </w:tcMar>
          </w:tcPr>
          <w:p>
            <w:pPr>
              <w:jc w:val="left"/>
            </w:pPr>
            <w:r>
              <w:rPr>
                <w:rFonts w:ascii="Times New Roman" w:hAnsi="Times New Roman"/>
                <w:sz w:val="16"/>
              </w:rPr>
              <w:t>Developed centralized portal for company job notifications and student registration.</w:t>
            </w:r>
          </w:p>
        </w:tc>
        <w:tc>
          <w:tcPr>
            <w:tcW w:type="dxa" w:w="1584"/>
            <w:shd w:fill="FFFFFF"/>
            <w:tcMar>
              <w:top w:w="60" w:type="dxa"/>
              <w:bottom w:w="60" w:type="dxa"/>
              <w:left w:w="70" w:type="dxa"/>
              <w:right w:w="70" w:type="dxa"/>
            </w:tcMar>
          </w:tcPr>
          <w:p>
            <w:pPr>
              <w:jc w:val="left"/>
            </w:pPr>
            <w:r>
              <w:rPr>
                <w:rFonts w:ascii="Times New Roman" w:hAnsi="Times New Roman"/>
                <w:sz w:val="16"/>
              </w:rPr>
              <w:t>Replaced fragmented WhatsApp/email notifications with single dashboard.</w:t>
            </w:r>
          </w:p>
        </w:tc>
        <w:tc>
          <w:tcPr>
            <w:tcW w:type="dxa" w:w="1728"/>
            <w:shd w:fill="FFFFFF"/>
            <w:tcMar>
              <w:top w:w="60" w:type="dxa"/>
              <w:bottom w:w="60" w:type="dxa"/>
              <w:left w:w="70" w:type="dxa"/>
              <w:right w:w="70" w:type="dxa"/>
            </w:tcMar>
          </w:tcPr>
          <w:p>
            <w:pPr>
              <w:jc w:val="left"/>
            </w:pPr>
            <w:r>
              <w:rPr>
                <w:rFonts w:ascii="Times New Roman" w:hAnsi="Times New Roman"/>
                <w:sz w:val="16"/>
              </w:rPr>
              <w:t>Lacks resume parsing; zero predictive modeling or automated skill matching.</w:t>
            </w:r>
          </w:p>
        </w:tc>
      </w:tr>
      <w:tr>
        <w:tc>
          <w:tcPr>
            <w:tcW w:type="dxa" w:w="648"/>
            <w:shd w:fill="F9FAFC"/>
            <w:tcMar>
              <w:top w:w="60" w:type="dxa"/>
              <w:bottom w:w="60" w:type="dxa"/>
              <w:left w:w="70" w:type="dxa"/>
              <w:right w:w="70" w:type="dxa"/>
            </w:tcMar>
          </w:tcPr>
          <w:p>
            <w:pPr>
              <w:jc w:val="center"/>
            </w:pPr>
            <w:r>
              <w:rPr>
                <w:rFonts w:ascii="Times New Roman" w:hAnsi="Times New Roman"/>
                <w:b/>
                <w:sz w:val="16"/>
              </w:rPr>
              <w:t>P08</w:t>
            </w:r>
          </w:p>
        </w:tc>
        <w:tc>
          <w:tcPr>
            <w:tcW w:type="dxa" w:w="1512"/>
            <w:shd w:fill="F9FAFC"/>
            <w:tcMar>
              <w:top w:w="60" w:type="dxa"/>
              <w:bottom w:w="60" w:type="dxa"/>
              <w:left w:w="70" w:type="dxa"/>
              <w:right w:w="70" w:type="dxa"/>
            </w:tcMar>
          </w:tcPr>
          <w:p>
            <w:pPr>
              <w:jc w:val="left"/>
            </w:pPr>
            <w:r>
              <w:rPr>
                <w:rFonts w:ascii="Times New Roman" w:hAnsi="Times New Roman"/>
                <w:sz w:val="16"/>
              </w:rPr>
              <w:t>Roy et al. (2022)</w:t>
            </w:r>
          </w:p>
        </w:tc>
        <w:tc>
          <w:tcPr>
            <w:tcW w:type="dxa" w:w="1368"/>
            <w:shd w:fill="F9FAFC"/>
            <w:tcMar>
              <w:top w:w="60" w:type="dxa"/>
              <w:bottom w:w="60" w:type="dxa"/>
              <w:left w:w="70" w:type="dxa"/>
              <w:right w:w="70" w:type="dxa"/>
            </w:tcMar>
          </w:tcPr>
          <w:p>
            <w:pPr>
              <w:jc w:val="left"/>
            </w:pPr>
            <w:r>
              <w:rPr>
                <w:rFonts w:ascii="Times New Roman" w:hAnsi="Times New Roman"/>
                <w:sz w:val="16"/>
              </w:rPr>
              <w:t>Resume Information Extraction</w:t>
            </w:r>
          </w:p>
        </w:tc>
        <w:tc>
          <w:tcPr>
            <w:tcW w:type="dxa" w:w="1656"/>
            <w:shd w:fill="F9FAFC"/>
            <w:tcMar>
              <w:top w:w="60" w:type="dxa"/>
              <w:bottom w:w="60" w:type="dxa"/>
              <w:left w:w="70" w:type="dxa"/>
              <w:right w:w="70" w:type="dxa"/>
            </w:tcMar>
          </w:tcPr>
          <w:p>
            <w:pPr>
              <w:jc w:val="left"/>
            </w:pPr>
            <w:r>
              <w:rPr>
                <w:rFonts w:ascii="Times New Roman" w:hAnsi="Times New Roman"/>
                <w:sz w:val="16"/>
              </w:rPr>
              <w:t>SpaCy NER, Tokenization, Pattern Matching</w:t>
            </w:r>
          </w:p>
        </w:tc>
        <w:tc>
          <w:tcPr>
            <w:tcW w:type="dxa" w:w="2016"/>
            <w:shd w:fill="F9FAFC"/>
            <w:tcMar>
              <w:top w:w="60" w:type="dxa"/>
              <w:bottom w:w="60" w:type="dxa"/>
              <w:left w:w="70" w:type="dxa"/>
              <w:right w:w="70" w:type="dxa"/>
            </w:tcMar>
          </w:tcPr>
          <w:p>
            <w:pPr>
              <w:jc w:val="left"/>
            </w:pPr>
            <w:r>
              <w:rPr>
                <w:rFonts w:ascii="Times New Roman" w:hAnsi="Times New Roman"/>
                <w:sz w:val="16"/>
              </w:rPr>
              <w:t>Trained custom NER models on 500+ Indian university engineering resumes.</w:t>
            </w:r>
          </w:p>
        </w:tc>
        <w:tc>
          <w:tcPr>
            <w:tcW w:type="dxa" w:w="1584"/>
            <w:shd w:fill="F9FAFC"/>
            <w:tcMar>
              <w:top w:w="60" w:type="dxa"/>
              <w:bottom w:w="60" w:type="dxa"/>
              <w:left w:w="70" w:type="dxa"/>
              <w:right w:w="70" w:type="dxa"/>
            </w:tcMar>
          </w:tcPr>
          <w:p>
            <w:pPr>
              <w:jc w:val="left"/>
            </w:pPr>
            <w:r>
              <w:rPr>
                <w:rFonts w:ascii="Times New Roman" w:hAnsi="Times New Roman"/>
                <w:sz w:val="16"/>
              </w:rPr>
              <w:t>High precision (90.4%) on standardized single-column resume formats.</w:t>
            </w:r>
          </w:p>
        </w:tc>
        <w:tc>
          <w:tcPr>
            <w:tcW w:type="dxa" w:w="1728"/>
            <w:shd w:fill="F9FAFC"/>
            <w:tcMar>
              <w:top w:w="60" w:type="dxa"/>
              <w:bottom w:w="60" w:type="dxa"/>
              <w:left w:w="70" w:type="dxa"/>
              <w:right w:w="70" w:type="dxa"/>
            </w:tcMar>
          </w:tcPr>
          <w:p>
            <w:pPr>
              <w:jc w:val="left"/>
            </w:pPr>
            <w:r>
              <w:rPr>
                <w:rFonts w:ascii="Times New Roman" w:hAnsi="Times New Roman"/>
                <w:sz w:val="16"/>
              </w:rPr>
              <w:t>Struggles with diverse font hierarchies and tabular resume layouts.</w:t>
            </w:r>
          </w:p>
        </w:tc>
      </w:tr>
      <w:tr>
        <w:tc>
          <w:tcPr>
            <w:tcW w:type="dxa" w:w="648"/>
            <w:shd w:fill="FFFFFF"/>
            <w:tcMar>
              <w:top w:w="60" w:type="dxa"/>
              <w:bottom w:w="60" w:type="dxa"/>
              <w:left w:w="70" w:type="dxa"/>
              <w:right w:w="70" w:type="dxa"/>
            </w:tcMar>
          </w:tcPr>
          <w:p>
            <w:pPr>
              <w:jc w:val="center"/>
            </w:pPr>
            <w:r>
              <w:rPr>
                <w:rFonts w:ascii="Times New Roman" w:hAnsi="Times New Roman"/>
                <w:b/>
                <w:sz w:val="16"/>
              </w:rPr>
              <w:t>P09</w:t>
            </w:r>
          </w:p>
        </w:tc>
        <w:tc>
          <w:tcPr>
            <w:tcW w:type="dxa" w:w="1512"/>
            <w:shd w:fill="FFFFFF"/>
            <w:tcMar>
              <w:top w:w="60" w:type="dxa"/>
              <w:bottom w:w="60" w:type="dxa"/>
              <w:left w:w="70" w:type="dxa"/>
              <w:right w:w="70" w:type="dxa"/>
            </w:tcMar>
          </w:tcPr>
          <w:p>
            <w:pPr>
              <w:jc w:val="left"/>
            </w:pPr>
            <w:r>
              <w:rPr>
                <w:rFonts w:ascii="Times New Roman" w:hAnsi="Times New Roman"/>
                <w:sz w:val="16"/>
              </w:rPr>
              <w:t>Mishra &amp; Srivastava (2022)</w:t>
            </w:r>
          </w:p>
        </w:tc>
        <w:tc>
          <w:tcPr>
            <w:tcW w:type="dxa" w:w="1368"/>
            <w:shd w:fill="FFFFFF"/>
            <w:tcMar>
              <w:top w:w="60" w:type="dxa"/>
              <w:bottom w:w="60" w:type="dxa"/>
              <w:left w:w="70" w:type="dxa"/>
              <w:right w:w="70" w:type="dxa"/>
            </w:tcMar>
          </w:tcPr>
          <w:p>
            <w:pPr>
              <w:jc w:val="left"/>
            </w:pPr>
            <w:r>
              <w:rPr>
                <w:rFonts w:ascii="Times New Roman" w:hAnsi="Times New Roman"/>
                <w:sz w:val="16"/>
              </w:rPr>
              <w:t>Placement Forecasting</w:t>
            </w:r>
          </w:p>
        </w:tc>
        <w:tc>
          <w:tcPr>
            <w:tcW w:type="dxa" w:w="1656"/>
            <w:shd w:fill="FFFFFF"/>
            <w:tcMar>
              <w:top w:w="60" w:type="dxa"/>
              <w:bottom w:w="60" w:type="dxa"/>
              <w:left w:w="70" w:type="dxa"/>
              <w:right w:w="70" w:type="dxa"/>
            </w:tcMar>
          </w:tcPr>
          <w:p>
            <w:pPr>
              <w:jc w:val="left"/>
            </w:pPr>
            <w:r>
              <w:rPr>
                <w:rFonts w:ascii="Times New Roman" w:hAnsi="Times New Roman"/>
                <w:sz w:val="16"/>
              </w:rPr>
              <w:t>Logistic Regression, Decision Tree, XGBoost</w:t>
            </w:r>
          </w:p>
        </w:tc>
        <w:tc>
          <w:tcPr>
            <w:tcW w:type="dxa" w:w="2016"/>
            <w:shd w:fill="FFFFFF"/>
            <w:tcMar>
              <w:top w:w="60" w:type="dxa"/>
              <w:bottom w:w="60" w:type="dxa"/>
              <w:left w:w="70" w:type="dxa"/>
              <w:right w:w="70" w:type="dxa"/>
            </w:tcMar>
          </w:tcPr>
          <w:p>
            <w:pPr>
              <w:jc w:val="left"/>
            </w:pPr>
            <w:r>
              <w:rPr>
                <w:rFonts w:ascii="Times New Roman" w:hAnsi="Times New Roman"/>
                <w:sz w:val="16"/>
              </w:rPr>
              <w:t>Compared predictive classifiers on a cohort of 1,200 engineering undergraduates.</w:t>
            </w:r>
          </w:p>
        </w:tc>
        <w:tc>
          <w:tcPr>
            <w:tcW w:type="dxa" w:w="1584"/>
            <w:shd w:fill="FFFFFF"/>
            <w:tcMar>
              <w:top w:w="60" w:type="dxa"/>
              <w:bottom w:w="60" w:type="dxa"/>
              <w:left w:w="70" w:type="dxa"/>
              <w:right w:w="70" w:type="dxa"/>
            </w:tcMar>
          </w:tcPr>
          <w:p>
            <w:pPr>
              <w:jc w:val="left"/>
            </w:pPr>
            <w:r>
              <w:rPr>
                <w:rFonts w:ascii="Times New Roman" w:hAnsi="Times New Roman"/>
                <w:sz w:val="16"/>
              </w:rPr>
              <w:t>Demonstrated XGBoost superiority (89.6% accuracy) on imbalanced placement data.</w:t>
            </w:r>
          </w:p>
        </w:tc>
        <w:tc>
          <w:tcPr>
            <w:tcW w:type="dxa" w:w="1728"/>
            <w:shd w:fill="FFFFFF"/>
            <w:tcMar>
              <w:top w:w="60" w:type="dxa"/>
              <w:bottom w:w="60" w:type="dxa"/>
              <w:left w:w="70" w:type="dxa"/>
              <w:right w:w="70" w:type="dxa"/>
            </w:tcMar>
          </w:tcPr>
          <w:p>
            <w:pPr>
              <w:jc w:val="left"/>
            </w:pPr>
            <w:r>
              <w:rPr>
                <w:rFonts w:ascii="Times New Roman" w:hAnsi="Times New Roman"/>
                <w:sz w:val="16"/>
              </w:rPr>
              <w:t>Retrospective analysis only; provided no actionable feedback to unplaced students.</w:t>
            </w:r>
          </w:p>
        </w:tc>
      </w:tr>
      <w:tr>
        <w:tc>
          <w:tcPr>
            <w:tcW w:type="dxa" w:w="648"/>
            <w:shd w:fill="F9FAFC"/>
            <w:tcMar>
              <w:top w:w="60" w:type="dxa"/>
              <w:bottom w:w="60" w:type="dxa"/>
              <w:left w:w="70" w:type="dxa"/>
              <w:right w:w="70" w:type="dxa"/>
            </w:tcMar>
          </w:tcPr>
          <w:p>
            <w:pPr>
              <w:jc w:val="center"/>
            </w:pPr>
            <w:r>
              <w:rPr>
                <w:rFonts w:ascii="Times New Roman" w:hAnsi="Times New Roman"/>
                <w:b/>
                <w:sz w:val="16"/>
              </w:rPr>
              <w:t>P10</w:t>
            </w:r>
          </w:p>
        </w:tc>
        <w:tc>
          <w:tcPr>
            <w:tcW w:type="dxa" w:w="1512"/>
            <w:shd w:fill="F9FAFC"/>
            <w:tcMar>
              <w:top w:w="60" w:type="dxa"/>
              <w:bottom w:w="60" w:type="dxa"/>
              <w:left w:w="70" w:type="dxa"/>
              <w:right w:w="70" w:type="dxa"/>
            </w:tcMar>
          </w:tcPr>
          <w:p>
            <w:pPr>
              <w:jc w:val="left"/>
            </w:pPr>
            <w:r>
              <w:rPr>
                <w:rFonts w:ascii="Times New Roman" w:hAnsi="Times New Roman"/>
                <w:sz w:val="16"/>
              </w:rPr>
              <w:t>Al-Rahmi et al. (2022)</w:t>
            </w:r>
          </w:p>
        </w:tc>
        <w:tc>
          <w:tcPr>
            <w:tcW w:type="dxa" w:w="1368"/>
            <w:shd w:fill="F9FAFC"/>
            <w:tcMar>
              <w:top w:w="60" w:type="dxa"/>
              <w:bottom w:w="60" w:type="dxa"/>
              <w:left w:w="70" w:type="dxa"/>
              <w:right w:w="70" w:type="dxa"/>
            </w:tcMar>
          </w:tcPr>
          <w:p>
            <w:pPr>
              <w:jc w:val="left"/>
            </w:pPr>
            <w:r>
              <w:rPr>
                <w:rFonts w:ascii="Times New Roman" w:hAnsi="Times New Roman"/>
                <w:sz w:val="16"/>
              </w:rPr>
              <w:t>Structural Equation Modeling</w:t>
            </w:r>
          </w:p>
        </w:tc>
        <w:tc>
          <w:tcPr>
            <w:tcW w:type="dxa" w:w="1656"/>
            <w:shd w:fill="F9FAFC"/>
            <w:tcMar>
              <w:top w:w="60" w:type="dxa"/>
              <w:bottom w:w="60" w:type="dxa"/>
              <w:left w:w="70" w:type="dxa"/>
              <w:right w:w="70" w:type="dxa"/>
            </w:tcMar>
          </w:tcPr>
          <w:p>
            <w:pPr>
              <w:jc w:val="left"/>
            </w:pPr>
            <w:r>
              <w:rPr>
                <w:rFonts w:ascii="Times New Roman" w:hAnsi="Times New Roman"/>
                <w:sz w:val="16"/>
              </w:rPr>
              <w:t>PLS-SEM, Predictive Path Analysis</w:t>
            </w:r>
          </w:p>
        </w:tc>
        <w:tc>
          <w:tcPr>
            <w:tcW w:type="dxa" w:w="2016"/>
            <w:shd w:fill="F9FAFC"/>
            <w:tcMar>
              <w:top w:w="60" w:type="dxa"/>
              <w:bottom w:w="60" w:type="dxa"/>
              <w:left w:w="70" w:type="dxa"/>
              <w:right w:w="70" w:type="dxa"/>
            </w:tcMar>
          </w:tcPr>
          <w:p>
            <w:pPr>
              <w:jc w:val="left"/>
            </w:pPr>
            <w:r>
              <w:rPr>
                <w:rFonts w:ascii="Times New Roman" w:hAnsi="Times New Roman"/>
                <w:sz w:val="16"/>
              </w:rPr>
              <w:t>Analyzed institutional factors influencing student employability and corporate satisfaction.</w:t>
            </w:r>
          </w:p>
        </w:tc>
        <w:tc>
          <w:tcPr>
            <w:tcW w:type="dxa" w:w="1584"/>
            <w:shd w:fill="F9FAFC"/>
            <w:tcMar>
              <w:top w:w="60" w:type="dxa"/>
              <w:bottom w:w="60" w:type="dxa"/>
              <w:left w:w="70" w:type="dxa"/>
              <w:right w:w="70" w:type="dxa"/>
            </w:tcMar>
          </w:tcPr>
          <w:p>
            <w:pPr>
              <w:jc w:val="left"/>
            </w:pPr>
            <w:r>
              <w:rPr>
                <w:rFonts w:ascii="Times New Roman" w:hAnsi="Times New Roman"/>
                <w:sz w:val="16"/>
              </w:rPr>
              <w:t>Comprehensive sociological and institutional factor analysis.</w:t>
            </w:r>
          </w:p>
        </w:tc>
        <w:tc>
          <w:tcPr>
            <w:tcW w:type="dxa" w:w="1728"/>
            <w:shd w:fill="F9FAFC"/>
            <w:tcMar>
              <w:top w:w="60" w:type="dxa"/>
              <w:bottom w:w="60" w:type="dxa"/>
              <w:left w:w="70" w:type="dxa"/>
              <w:right w:w="70" w:type="dxa"/>
            </w:tcMar>
          </w:tcPr>
          <w:p>
            <w:pPr>
              <w:jc w:val="left"/>
            </w:pPr>
            <w:r>
              <w:rPr>
                <w:rFonts w:ascii="Times New Roman" w:hAnsi="Times New Roman"/>
                <w:sz w:val="16"/>
              </w:rPr>
              <w:t>Purely statistical study; no software tool, prototype, or code artifact developed.</w:t>
            </w:r>
          </w:p>
        </w:tc>
      </w:tr>
      <w:tr>
        <w:tc>
          <w:tcPr>
            <w:tcW w:type="dxa" w:w="648"/>
            <w:shd w:fill="FFFFFF"/>
            <w:tcMar>
              <w:top w:w="60" w:type="dxa"/>
              <w:bottom w:w="60" w:type="dxa"/>
              <w:left w:w="70" w:type="dxa"/>
              <w:right w:w="70" w:type="dxa"/>
            </w:tcMar>
          </w:tcPr>
          <w:p>
            <w:pPr>
              <w:jc w:val="center"/>
            </w:pPr>
            <w:r>
              <w:rPr>
                <w:rFonts w:ascii="Times New Roman" w:hAnsi="Times New Roman"/>
                <w:b/>
                <w:sz w:val="16"/>
              </w:rPr>
              <w:t>P11</w:t>
            </w:r>
          </w:p>
        </w:tc>
        <w:tc>
          <w:tcPr>
            <w:tcW w:type="dxa" w:w="1512"/>
            <w:shd w:fill="FFFFFF"/>
            <w:tcMar>
              <w:top w:w="60" w:type="dxa"/>
              <w:bottom w:w="60" w:type="dxa"/>
              <w:left w:w="70" w:type="dxa"/>
              <w:right w:w="70" w:type="dxa"/>
            </w:tcMar>
          </w:tcPr>
          <w:p>
            <w:pPr>
              <w:jc w:val="left"/>
            </w:pPr>
            <w:r>
              <w:rPr>
                <w:rFonts w:ascii="Times New Roman" w:hAnsi="Times New Roman"/>
                <w:sz w:val="16"/>
              </w:rPr>
              <w:t>Khan et al. (2022)</w:t>
            </w:r>
          </w:p>
        </w:tc>
        <w:tc>
          <w:tcPr>
            <w:tcW w:type="dxa" w:w="1368"/>
            <w:shd w:fill="FFFFFF"/>
            <w:tcMar>
              <w:top w:w="60" w:type="dxa"/>
              <w:bottom w:w="60" w:type="dxa"/>
              <w:left w:w="70" w:type="dxa"/>
              <w:right w:w="70" w:type="dxa"/>
            </w:tcMar>
          </w:tcPr>
          <w:p>
            <w:pPr>
              <w:jc w:val="left"/>
            </w:pPr>
            <w:r>
              <w:rPr>
                <w:rFonts w:ascii="Times New Roman" w:hAnsi="Times New Roman"/>
                <w:sz w:val="16"/>
              </w:rPr>
              <w:t>Competency Benchmarking</w:t>
            </w:r>
          </w:p>
        </w:tc>
        <w:tc>
          <w:tcPr>
            <w:tcW w:type="dxa" w:w="1656"/>
            <w:shd w:fill="FFFFFF"/>
            <w:tcMar>
              <w:top w:w="60" w:type="dxa"/>
              <w:bottom w:w="60" w:type="dxa"/>
              <w:left w:w="70" w:type="dxa"/>
              <w:right w:w="70" w:type="dxa"/>
            </w:tcMar>
          </w:tcPr>
          <w:p>
            <w:pPr>
              <w:jc w:val="left"/>
            </w:pPr>
            <w:r>
              <w:rPr>
                <w:rFonts w:ascii="Times New Roman" w:hAnsi="Times New Roman"/>
                <w:sz w:val="16"/>
              </w:rPr>
              <w:t>TF-IDF, Cosine Similarity, Web Scraping</w:t>
            </w:r>
          </w:p>
        </w:tc>
        <w:tc>
          <w:tcPr>
            <w:tcW w:type="dxa" w:w="2016"/>
            <w:shd w:fill="FFFFFF"/>
            <w:tcMar>
              <w:top w:w="60" w:type="dxa"/>
              <w:bottom w:w="60" w:type="dxa"/>
              <w:left w:w="70" w:type="dxa"/>
              <w:right w:w="70" w:type="dxa"/>
            </w:tcMar>
          </w:tcPr>
          <w:p>
            <w:pPr>
              <w:jc w:val="left"/>
            </w:pPr>
            <w:r>
              <w:rPr>
                <w:rFonts w:ascii="Times New Roman" w:hAnsi="Times New Roman"/>
                <w:sz w:val="16"/>
              </w:rPr>
              <w:t>Scraped live job postings from LinkedIn and compared against university syllabus keywords.</w:t>
            </w:r>
          </w:p>
        </w:tc>
        <w:tc>
          <w:tcPr>
            <w:tcW w:type="dxa" w:w="1584"/>
            <w:shd w:fill="FFFFFF"/>
            <w:tcMar>
              <w:top w:w="60" w:type="dxa"/>
              <w:bottom w:w="60" w:type="dxa"/>
              <w:left w:w="70" w:type="dxa"/>
              <w:right w:w="70" w:type="dxa"/>
            </w:tcMar>
          </w:tcPr>
          <w:p>
            <w:pPr>
              <w:jc w:val="left"/>
            </w:pPr>
            <w:r>
              <w:rPr>
                <w:rFonts w:ascii="Times New Roman" w:hAnsi="Times New Roman"/>
                <w:sz w:val="16"/>
              </w:rPr>
              <w:t>Identified 42% curriculum lag in emerging cloud and full-stack frameworks.</w:t>
            </w:r>
          </w:p>
        </w:tc>
        <w:tc>
          <w:tcPr>
            <w:tcW w:type="dxa" w:w="1728"/>
            <w:shd w:fill="FFFFFF"/>
            <w:tcMar>
              <w:top w:w="60" w:type="dxa"/>
              <w:bottom w:w="60" w:type="dxa"/>
              <w:left w:w="70" w:type="dxa"/>
              <w:right w:w="70" w:type="dxa"/>
            </w:tcMar>
          </w:tcPr>
          <w:p>
            <w:pPr>
              <w:jc w:val="left"/>
            </w:pPr>
            <w:r>
              <w:rPr>
                <w:rFonts w:ascii="Times New Roman" w:hAnsi="Times New Roman"/>
                <w:sz w:val="16"/>
              </w:rPr>
              <w:t>Coarse keyword matching; lacked deep semantic contextualization.</w:t>
            </w:r>
          </w:p>
        </w:tc>
      </w:tr>
      <w:tr>
        <w:tc>
          <w:tcPr>
            <w:tcW w:type="dxa" w:w="648"/>
            <w:shd w:fill="F9FAFC"/>
            <w:tcMar>
              <w:top w:w="60" w:type="dxa"/>
              <w:bottom w:w="60" w:type="dxa"/>
              <w:left w:w="70" w:type="dxa"/>
              <w:right w:w="70" w:type="dxa"/>
            </w:tcMar>
          </w:tcPr>
          <w:p>
            <w:pPr>
              <w:jc w:val="center"/>
            </w:pPr>
            <w:r>
              <w:rPr>
                <w:rFonts w:ascii="Times New Roman" w:hAnsi="Times New Roman"/>
                <w:b/>
                <w:sz w:val="16"/>
              </w:rPr>
              <w:t>P12</w:t>
            </w:r>
          </w:p>
        </w:tc>
        <w:tc>
          <w:tcPr>
            <w:tcW w:type="dxa" w:w="1512"/>
            <w:shd w:fill="F9FAFC"/>
            <w:tcMar>
              <w:top w:w="60" w:type="dxa"/>
              <w:bottom w:w="60" w:type="dxa"/>
              <w:left w:w="70" w:type="dxa"/>
              <w:right w:w="70" w:type="dxa"/>
            </w:tcMar>
          </w:tcPr>
          <w:p>
            <w:pPr>
              <w:jc w:val="left"/>
            </w:pPr>
            <w:r>
              <w:rPr>
                <w:rFonts w:ascii="Times New Roman" w:hAnsi="Times New Roman"/>
                <w:sz w:val="16"/>
              </w:rPr>
              <w:t>Kumar &amp; Singh (2023)</w:t>
            </w:r>
          </w:p>
        </w:tc>
        <w:tc>
          <w:tcPr>
            <w:tcW w:type="dxa" w:w="1368"/>
            <w:shd w:fill="F9FAFC"/>
            <w:tcMar>
              <w:top w:w="60" w:type="dxa"/>
              <w:bottom w:w="60" w:type="dxa"/>
              <w:left w:w="70" w:type="dxa"/>
              <w:right w:w="70" w:type="dxa"/>
            </w:tcMar>
          </w:tcPr>
          <w:p>
            <w:pPr>
              <w:jc w:val="left"/>
            </w:pPr>
            <w:r>
              <w:rPr>
                <w:rFonts w:ascii="Times New Roman" w:hAnsi="Times New Roman"/>
                <w:sz w:val="16"/>
              </w:rPr>
              <w:t>Full-Stack Portal</w:t>
            </w:r>
          </w:p>
        </w:tc>
        <w:tc>
          <w:tcPr>
            <w:tcW w:type="dxa" w:w="1656"/>
            <w:shd w:fill="F9FAFC"/>
            <w:tcMar>
              <w:top w:w="60" w:type="dxa"/>
              <w:bottom w:w="60" w:type="dxa"/>
              <w:left w:w="70" w:type="dxa"/>
              <w:right w:w="70" w:type="dxa"/>
            </w:tcMar>
          </w:tcPr>
          <w:p>
            <w:pPr>
              <w:jc w:val="left"/>
            </w:pPr>
            <w:r>
              <w:rPr>
                <w:rFonts w:ascii="Times New Roman" w:hAnsi="Times New Roman"/>
                <w:sz w:val="16"/>
              </w:rPr>
              <w:t>MERN Stack (React, Node, Express, MongoDB)</w:t>
            </w:r>
          </w:p>
        </w:tc>
        <w:tc>
          <w:tcPr>
            <w:tcW w:type="dxa" w:w="2016"/>
            <w:shd w:fill="F9FAFC"/>
            <w:tcMar>
              <w:top w:w="60" w:type="dxa"/>
              <w:bottom w:w="60" w:type="dxa"/>
              <w:left w:w="70" w:type="dxa"/>
              <w:right w:w="70" w:type="dxa"/>
            </w:tcMar>
          </w:tcPr>
          <w:p>
            <w:pPr>
              <w:jc w:val="left"/>
            </w:pPr>
            <w:r>
              <w:rPr>
                <w:rFonts w:ascii="Times New Roman" w:hAnsi="Times New Roman"/>
                <w:sz w:val="16"/>
              </w:rPr>
              <w:t>Built asynchronous, multi-role placement platform handling real-time notifications.</w:t>
            </w:r>
          </w:p>
        </w:tc>
        <w:tc>
          <w:tcPr>
            <w:tcW w:type="dxa" w:w="1584"/>
            <w:shd w:fill="F9FAFC"/>
            <w:tcMar>
              <w:top w:w="60" w:type="dxa"/>
              <w:bottom w:w="60" w:type="dxa"/>
              <w:left w:w="70" w:type="dxa"/>
              <w:right w:w="70" w:type="dxa"/>
            </w:tcMar>
          </w:tcPr>
          <w:p>
            <w:pPr>
              <w:jc w:val="left"/>
            </w:pPr>
            <w:r>
              <w:rPr>
                <w:rFonts w:ascii="Times New Roman" w:hAnsi="Times New Roman"/>
                <w:sz w:val="16"/>
              </w:rPr>
              <w:t>High frontend responsiveness; flexible NoSQL document schema for diverse profiles.</w:t>
            </w:r>
          </w:p>
        </w:tc>
        <w:tc>
          <w:tcPr>
            <w:tcW w:type="dxa" w:w="1728"/>
            <w:shd w:fill="F9FAFC"/>
            <w:tcMar>
              <w:top w:w="60" w:type="dxa"/>
              <w:bottom w:w="60" w:type="dxa"/>
              <w:left w:w="70" w:type="dxa"/>
              <w:right w:w="70" w:type="dxa"/>
            </w:tcMar>
          </w:tcPr>
          <w:p>
            <w:pPr>
              <w:jc w:val="left"/>
            </w:pPr>
            <w:r>
              <w:rPr>
                <w:rFonts w:ascii="Times New Roman" w:hAnsi="Times New Roman"/>
                <w:sz w:val="16"/>
              </w:rPr>
              <w:t>Basic ATS resume search; lacked anti-cheating mechanisms for assessments.</w:t>
            </w:r>
          </w:p>
        </w:tc>
      </w:tr>
      <w:tr>
        <w:tc>
          <w:tcPr>
            <w:tcW w:type="dxa" w:w="648"/>
            <w:shd w:fill="FFFFFF"/>
            <w:tcMar>
              <w:top w:w="60" w:type="dxa"/>
              <w:bottom w:w="60" w:type="dxa"/>
              <w:left w:w="70" w:type="dxa"/>
              <w:right w:w="70" w:type="dxa"/>
            </w:tcMar>
          </w:tcPr>
          <w:p>
            <w:pPr>
              <w:jc w:val="center"/>
            </w:pPr>
            <w:r>
              <w:rPr>
                <w:rFonts w:ascii="Times New Roman" w:hAnsi="Times New Roman"/>
                <w:b/>
                <w:sz w:val="16"/>
              </w:rPr>
              <w:t>P13</w:t>
            </w:r>
          </w:p>
        </w:tc>
        <w:tc>
          <w:tcPr>
            <w:tcW w:type="dxa" w:w="1512"/>
            <w:shd w:fill="FFFFFF"/>
            <w:tcMar>
              <w:top w:w="60" w:type="dxa"/>
              <w:bottom w:w="60" w:type="dxa"/>
              <w:left w:w="70" w:type="dxa"/>
              <w:right w:w="70" w:type="dxa"/>
            </w:tcMar>
          </w:tcPr>
          <w:p>
            <w:pPr>
              <w:jc w:val="left"/>
            </w:pPr>
            <w:r>
              <w:rPr>
                <w:rFonts w:ascii="Times New Roman" w:hAnsi="Times New Roman"/>
                <w:sz w:val="16"/>
              </w:rPr>
              <w:t>Bhalekar et al. (2023)</w:t>
            </w:r>
          </w:p>
        </w:tc>
        <w:tc>
          <w:tcPr>
            <w:tcW w:type="dxa" w:w="1368"/>
            <w:shd w:fill="FFFFFF"/>
            <w:tcMar>
              <w:top w:w="60" w:type="dxa"/>
              <w:bottom w:w="60" w:type="dxa"/>
              <w:left w:w="70" w:type="dxa"/>
              <w:right w:w="70" w:type="dxa"/>
            </w:tcMar>
          </w:tcPr>
          <w:p>
            <w:pPr>
              <w:jc w:val="left"/>
            </w:pPr>
            <w:r>
              <w:rPr>
                <w:rFonts w:ascii="Times New Roman" w:hAnsi="Times New Roman"/>
                <w:sz w:val="16"/>
              </w:rPr>
              <w:t>Semantic Resume Matching</w:t>
            </w:r>
          </w:p>
        </w:tc>
        <w:tc>
          <w:tcPr>
            <w:tcW w:type="dxa" w:w="1656"/>
            <w:shd w:fill="FFFFFF"/>
            <w:tcMar>
              <w:top w:w="60" w:type="dxa"/>
              <w:bottom w:w="60" w:type="dxa"/>
              <w:left w:w="70" w:type="dxa"/>
              <w:right w:w="70" w:type="dxa"/>
            </w:tcMar>
          </w:tcPr>
          <w:p>
            <w:pPr>
              <w:jc w:val="left"/>
            </w:pPr>
            <w:r>
              <w:rPr>
                <w:rFonts w:ascii="Times New Roman" w:hAnsi="Times New Roman"/>
                <w:sz w:val="16"/>
              </w:rPr>
              <w:t>Sentence-BERT (S-BERT), Cosine Distance</w:t>
            </w:r>
          </w:p>
        </w:tc>
        <w:tc>
          <w:tcPr>
            <w:tcW w:type="dxa" w:w="2016"/>
            <w:shd w:fill="FFFFFF"/>
            <w:tcMar>
              <w:top w:w="60" w:type="dxa"/>
              <w:bottom w:w="60" w:type="dxa"/>
              <w:left w:w="70" w:type="dxa"/>
              <w:right w:w="70" w:type="dxa"/>
            </w:tcMar>
          </w:tcPr>
          <w:p>
            <w:pPr>
              <w:jc w:val="left"/>
            </w:pPr>
            <w:r>
              <w:rPr>
                <w:rFonts w:ascii="Times New Roman" w:hAnsi="Times New Roman"/>
                <w:sz w:val="16"/>
              </w:rPr>
              <w:t>Encoded student resumes and job descriptions into dense vectors for semantic ranking.</w:t>
            </w:r>
          </w:p>
        </w:tc>
        <w:tc>
          <w:tcPr>
            <w:tcW w:type="dxa" w:w="1584"/>
            <w:shd w:fill="FFFFFF"/>
            <w:tcMar>
              <w:top w:w="60" w:type="dxa"/>
              <w:bottom w:w="60" w:type="dxa"/>
              <w:left w:w="70" w:type="dxa"/>
              <w:right w:w="70" w:type="dxa"/>
            </w:tcMar>
          </w:tcPr>
          <w:p>
            <w:pPr>
              <w:jc w:val="left"/>
            </w:pPr>
            <w:r>
              <w:rPr>
                <w:rFonts w:ascii="Times New Roman" w:hAnsi="Times New Roman"/>
                <w:sz w:val="16"/>
              </w:rPr>
              <w:t>Identified semantic synonyms (e.g., 'MERN' matched with 'React + Node'); bypassed rigid keywords.</w:t>
            </w:r>
          </w:p>
        </w:tc>
        <w:tc>
          <w:tcPr>
            <w:tcW w:type="dxa" w:w="1728"/>
            <w:shd w:fill="FFFFFF"/>
            <w:tcMar>
              <w:top w:w="60" w:type="dxa"/>
              <w:bottom w:w="60" w:type="dxa"/>
              <w:left w:w="70" w:type="dxa"/>
              <w:right w:w="70" w:type="dxa"/>
            </w:tcMar>
          </w:tcPr>
          <w:p>
            <w:pPr>
              <w:jc w:val="left"/>
            </w:pPr>
            <w:r>
              <w:rPr>
                <w:rFonts w:ascii="Times New Roman" w:hAnsi="Times New Roman"/>
                <w:sz w:val="16"/>
              </w:rPr>
              <w:t>Computationally intensive; requires GPU or high RAM for real-time inference on large cohorts.</w:t>
            </w:r>
          </w:p>
        </w:tc>
      </w:tr>
      <w:tr>
        <w:tc>
          <w:tcPr>
            <w:tcW w:type="dxa" w:w="648"/>
            <w:shd w:fill="F9FAFC"/>
            <w:tcMar>
              <w:top w:w="60" w:type="dxa"/>
              <w:bottom w:w="60" w:type="dxa"/>
              <w:left w:w="70" w:type="dxa"/>
              <w:right w:w="70" w:type="dxa"/>
            </w:tcMar>
          </w:tcPr>
          <w:p>
            <w:pPr>
              <w:jc w:val="center"/>
            </w:pPr>
            <w:r>
              <w:rPr>
                <w:rFonts w:ascii="Times New Roman" w:hAnsi="Times New Roman"/>
                <w:b/>
                <w:sz w:val="16"/>
              </w:rPr>
              <w:t>P14</w:t>
            </w:r>
          </w:p>
        </w:tc>
        <w:tc>
          <w:tcPr>
            <w:tcW w:type="dxa" w:w="1512"/>
            <w:shd w:fill="F9FAFC"/>
            <w:tcMar>
              <w:top w:w="60" w:type="dxa"/>
              <w:bottom w:w="60" w:type="dxa"/>
              <w:left w:w="70" w:type="dxa"/>
              <w:right w:w="70" w:type="dxa"/>
            </w:tcMar>
          </w:tcPr>
          <w:p>
            <w:pPr>
              <w:jc w:val="left"/>
            </w:pPr>
            <w:r>
              <w:rPr>
                <w:rFonts w:ascii="Times New Roman" w:hAnsi="Times New Roman"/>
                <w:sz w:val="16"/>
              </w:rPr>
              <w:t>Zhang et al. (2023)</w:t>
            </w:r>
          </w:p>
        </w:tc>
        <w:tc>
          <w:tcPr>
            <w:tcW w:type="dxa" w:w="1368"/>
            <w:shd w:fill="F9FAFC"/>
            <w:tcMar>
              <w:top w:w="60" w:type="dxa"/>
              <w:bottom w:w="60" w:type="dxa"/>
              <w:left w:w="70" w:type="dxa"/>
              <w:right w:w="70" w:type="dxa"/>
            </w:tcMar>
          </w:tcPr>
          <w:p>
            <w:pPr>
              <w:jc w:val="left"/>
            </w:pPr>
            <w:r>
              <w:rPr>
                <w:rFonts w:ascii="Times New Roman" w:hAnsi="Times New Roman"/>
                <w:sz w:val="16"/>
              </w:rPr>
              <w:t>Skill Gap Detection</w:t>
            </w:r>
          </w:p>
        </w:tc>
        <w:tc>
          <w:tcPr>
            <w:tcW w:type="dxa" w:w="1656"/>
            <w:shd w:fill="F9FAFC"/>
            <w:tcMar>
              <w:top w:w="60" w:type="dxa"/>
              <w:bottom w:w="60" w:type="dxa"/>
              <w:left w:w="70" w:type="dxa"/>
              <w:right w:w="70" w:type="dxa"/>
            </w:tcMar>
          </w:tcPr>
          <w:p>
            <w:pPr>
              <w:jc w:val="left"/>
            </w:pPr>
            <w:r>
              <w:rPr>
                <w:rFonts w:ascii="Times New Roman" w:hAnsi="Times New Roman"/>
                <w:sz w:val="16"/>
              </w:rPr>
              <w:t>Ontology Mapping, Word2Vec, Distance Metrics</w:t>
            </w:r>
          </w:p>
        </w:tc>
        <w:tc>
          <w:tcPr>
            <w:tcW w:type="dxa" w:w="2016"/>
            <w:shd w:fill="F9FAFC"/>
            <w:tcMar>
              <w:top w:w="60" w:type="dxa"/>
              <w:bottom w:w="60" w:type="dxa"/>
              <w:left w:w="70" w:type="dxa"/>
              <w:right w:w="70" w:type="dxa"/>
            </w:tcMar>
          </w:tcPr>
          <w:p>
            <w:pPr>
              <w:jc w:val="left"/>
            </w:pPr>
            <w:r>
              <w:rPr>
                <w:rFonts w:ascii="Times New Roman" w:hAnsi="Times New Roman"/>
                <w:sz w:val="16"/>
              </w:rPr>
              <w:t>Automated skill gap identification between student profiles and enterprise job specs.</w:t>
            </w:r>
          </w:p>
        </w:tc>
        <w:tc>
          <w:tcPr>
            <w:tcW w:type="dxa" w:w="1584"/>
            <w:shd w:fill="F9FAFC"/>
            <w:tcMar>
              <w:top w:w="60" w:type="dxa"/>
              <w:bottom w:w="60" w:type="dxa"/>
              <w:left w:w="70" w:type="dxa"/>
              <w:right w:w="70" w:type="dxa"/>
            </w:tcMar>
          </w:tcPr>
          <w:p>
            <w:pPr>
              <w:jc w:val="left"/>
            </w:pPr>
            <w:r>
              <w:rPr>
                <w:rFonts w:ascii="Times New Roman" w:hAnsi="Times New Roman"/>
                <w:sz w:val="16"/>
              </w:rPr>
              <w:t>Visualized skill deficiencies as interactive radar charts for student remediation.</w:t>
            </w:r>
          </w:p>
        </w:tc>
        <w:tc>
          <w:tcPr>
            <w:tcW w:type="dxa" w:w="1728"/>
            <w:shd w:fill="F9FAFC"/>
            <w:tcMar>
              <w:top w:w="60" w:type="dxa"/>
              <w:bottom w:w="60" w:type="dxa"/>
              <w:left w:w="70" w:type="dxa"/>
              <w:right w:w="70" w:type="dxa"/>
            </w:tcMar>
          </w:tcPr>
          <w:p>
            <w:pPr>
              <w:jc w:val="left"/>
            </w:pPr>
            <w:r>
              <w:rPr>
                <w:rFonts w:ascii="Times New Roman" w:hAnsi="Times New Roman"/>
                <w:sz w:val="16"/>
              </w:rPr>
              <w:t>Ontology requires manual maintenance as new programming libraries emerge.</w:t>
            </w:r>
          </w:p>
        </w:tc>
      </w:tr>
      <w:tr>
        <w:tc>
          <w:tcPr>
            <w:tcW w:type="dxa" w:w="648"/>
            <w:shd w:fill="FFFFFF"/>
            <w:tcMar>
              <w:top w:w="60" w:type="dxa"/>
              <w:bottom w:w="60" w:type="dxa"/>
              <w:left w:w="70" w:type="dxa"/>
              <w:right w:w="70" w:type="dxa"/>
            </w:tcMar>
          </w:tcPr>
          <w:p>
            <w:pPr>
              <w:jc w:val="center"/>
            </w:pPr>
            <w:r>
              <w:rPr>
                <w:rFonts w:ascii="Times New Roman" w:hAnsi="Times New Roman"/>
                <w:b/>
                <w:sz w:val="16"/>
              </w:rPr>
              <w:t>P15</w:t>
            </w:r>
          </w:p>
        </w:tc>
        <w:tc>
          <w:tcPr>
            <w:tcW w:type="dxa" w:w="1512"/>
            <w:shd w:fill="FFFFFF"/>
            <w:tcMar>
              <w:top w:w="60" w:type="dxa"/>
              <w:bottom w:w="60" w:type="dxa"/>
              <w:left w:w="70" w:type="dxa"/>
              <w:right w:w="70" w:type="dxa"/>
            </w:tcMar>
          </w:tcPr>
          <w:p>
            <w:pPr>
              <w:jc w:val="left"/>
            </w:pPr>
            <w:r>
              <w:rPr>
                <w:rFonts w:ascii="Times New Roman" w:hAnsi="Times New Roman"/>
                <w:sz w:val="16"/>
              </w:rPr>
              <w:t>Reddy et al. (2023)</w:t>
            </w:r>
          </w:p>
        </w:tc>
        <w:tc>
          <w:tcPr>
            <w:tcW w:type="dxa" w:w="1368"/>
            <w:shd w:fill="FFFFFF"/>
            <w:tcMar>
              <w:top w:w="60" w:type="dxa"/>
              <w:bottom w:w="60" w:type="dxa"/>
              <w:left w:w="70" w:type="dxa"/>
              <w:right w:w="70" w:type="dxa"/>
            </w:tcMar>
          </w:tcPr>
          <w:p>
            <w:pPr>
              <w:jc w:val="left"/>
            </w:pPr>
            <w:r>
              <w:rPr>
                <w:rFonts w:ascii="Times New Roman" w:hAnsi="Times New Roman"/>
                <w:sz w:val="16"/>
              </w:rPr>
              <w:t>Cloud Placement Engine</w:t>
            </w:r>
          </w:p>
        </w:tc>
        <w:tc>
          <w:tcPr>
            <w:tcW w:type="dxa" w:w="1656"/>
            <w:shd w:fill="FFFFFF"/>
            <w:tcMar>
              <w:top w:w="60" w:type="dxa"/>
              <w:bottom w:w="60" w:type="dxa"/>
              <w:left w:w="70" w:type="dxa"/>
              <w:right w:w="70" w:type="dxa"/>
            </w:tcMar>
          </w:tcPr>
          <w:p>
            <w:pPr>
              <w:jc w:val="left"/>
            </w:pPr>
            <w:r>
              <w:rPr>
                <w:rFonts w:ascii="Times New Roman" w:hAnsi="Times New Roman"/>
                <w:sz w:val="16"/>
              </w:rPr>
              <w:t>Node.js, Express, MongoDB Atlas, Redis Cache</w:t>
            </w:r>
          </w:p>
        </w:tc>
        <w:tc>
          <w:tcPr>
            <w:tcW w:type="dxa" w:w="2016"/>
            <w:shd w:fill="FFFFFF"/>
            <w:tcMar>
              <w:top w:w="60" w:type="dxa"/>
              <w:bottom w:w="60" w:type="dxa"/>
              <w:left w:w="70" w:type="dxa"/>
              <w:right w:w="70" w:type="dxa"/>
            </w:tcMar>
          </w:tcPr>
          <w:p>
            <w:pPr>
              <w:jc w:val="left"/>
            </w:pPr>
            <w:r>
              <w:rPr>
                <w:rFonts w:ascii="Times New Roman" w:hAnsi="Times New Roman"/>
                <w:sz w:val="16"/>
              </w:rPr>
              <w:t>Architected cloud recruitment platform with caching for interview scheduling.</w:t>
            </w:r>
          </w:p>
        </w:tc>
        <w:tc>
          <w:tcPr>
            <w:tcW w:type="dxa" w:w="1584"/>
            <w:shd w:fill="FFFFFF"/>
            <w:tcMar>
              <w:top w:w="60" w:type="dxa"/>
              <w:bottom w:w="60" w:type="dxa"/>
              <w:left w:w="70" w:type="dxa"/>
              <w:right w:w="70" w:type="dxa"/>
            </w:tcMar>
          </w:tcPr>
          <w:p>
            <w:pPr>
              <w:jc w:val="left"/>
            </w:pPr>
            <w:r>
              <w:rPr>
                <w:rFonts w:ascii="Times New Roman" w:hAnsi="Times New Roman"/>
                <w:sz w:val="16"/>
              </w:rPr>
              <w:t>Handled 5,000+ concurrent requests without degradation; high availability.</w:t>
            </w:r>
          </w:p>
        </w:tc>
        <w:tc>
          <w:tcPr>
            <w:tcW w:type="dxa" w:w="1728"/>
            <w:shd w:fill="FFFFFF"/>
            <w:tcMar>
              <w:top w:w="60" w:type="dxa"/>
              <w:bottom w:w="60" w:type="dxa"/>
              <w:left w:w="70" w:type="dxa"/>
              <w:right w:w="70" w:type="dxa"/>
            </w:tcMar>
          </w:tcPr>
          <w:p>
            <w:pPr>
              <w:jc w:val="left"/>
            </w:pPr>
            <w:r>
              <w:rPr>
                <w:rFonts w:ascii="Times New Roman" w:hAnsi="Times New Roman"/>
                <w:sz w:val="16"/>
              </w:rPr>
              <w:t>Focus was primarily on infrastructure; no machine learning or NLP integrations.</w:t>
            </w:r>
          </w:p>
        </w:tc>
      </w:tr>
      <w:tr>
        <w:tc>
          <w:tcPr>
            <w:tcW w:type="dxa" w:w="648"/>
            <w:shd w:fill="F9FAFC"/>
            <w:tcMar>
              <w:top w:w="60" w:type="dxa"/>
              <w:bottom w:w="60" w:type="dxa"/>
              <w:left w:w="70" w:type="dxa"/>
              <w:right w:w="70" w:type="dxa"/>
            </w:tcMar>
          </w:tcPr>
          <w:p>
            <w:pPr>
              <w:jc w:val="center"/>
            </w:pPr>
            <w:r>
              <w:rPr>
                <w:rFonts w:ascii="Times New Roman" w:hAnsi="Times New Roman"/>
                <w:b/>
                <w:sz w:val="16"/>
              </w:rPr>
              <w:t>P16</w:t>
            </w:r>
          </w:p>
        </w:tc>
        <w:tc>
          <w:tcPr>
            <w:tcW w:type="dxa" w:w="1512"/>
            <w:shd w:fill="F9FAFC"/>
            <w:tcMar>
              <w:top w:w="60" w:type="dxa"/>
              <w:bottom w:w="60" w:type="dxa"/>
              <w:left w:w="70" w:type="dxa"/>
              <w:right w:w="70" w:type="dxa"/>
            </w:tcMar>
          </w:tcPr>
          <w:p>
            <w:pPr>
              <w:jc w:val="left"/>
            </w:pPr>
            <w:r>
              <w:rPr>
                <w:rFonts w:ascii="Times New Roman" w:hAnsi="Times New Roman"/>
                <w:sz w:val="16"/>
              </w:rPr>
              <w:t>Patel &amp; Joshi (2023)</w:t>
            </w:r>
          </w:p>
        </w:tc>
        <w:tc>
          <w:tcPr>
            <w:tcW w:type="dxa" w:w="1368"/>
            <w:shd w:fill="F9FAFC"/>
            <w:tcMar>
              <w:top w:w="60" w:type="dxa"/>
              <w:bottom w:w="60" w:type="dxa"/>
              <w:left w:w="70" w:type="dxa"/>
              <w:right w:w="70" w:type="dxa"/>
            </w:tcMar>
          </w:tcPr>
          <w:p>
            <w:pPr>
              <w:jc w:val="left"/>
            </w:pPr>
            <w:r>
              <w:rPr>
                <w:rFonts w:ascii="Times New Roman" w:hAnsi="Times New Roman"/>
                <w:sz w:val="16"/>
              </w:rPr>
              <w:t>Automated Skill Verification</w:t>
            </w:r>
          </w:p>
        </w:tc>
        <w:tc>
          <w:tcPr>
            <w:tcW w:type="dxa" w:w="1656"/>
            <w:shd w:fill="F9FAFC"/>
            <w:tcMar>
              <w:top w:w="60" w:type="dxa"/>
              <w:bottom w:w="60" w:type="dxa"/>
              <w:left w:w="70" w:type="dxa"/>
              <w:right w:w="70" w:type="dxa"/>
            </w:tcMar>
          </w:tcPr>
          <w:p>
            <w:pPr>
              <w:jc w:val="left"/>
            </w:pPr>
            <w:r>
              <w:rPr>
                <w:rFonts w:ascii="Times New Roman" w:hAnsi="Times New Roman"/>
                <w:sz w:val="16"/>
              </w:rPr>
              <w:t>Node.js, MCQ Assessment Engine, Badge Sync</w:t>
            </w:r>
          </w:p>
        </w:tc>
        <w:tc>
          <w:tcPr>
            <w:tcW w:type="dxa" w:w="2016"/>
            <w:shd w:fill="F9FAFC"/>
            <w:tcMar>
              <w:top w:w="60" w:type="dxa"/>
              <w:bottom w:w="60" w:type="dxa"/>
              <w:left w:w="70" w:type="dxa"/>
              <w:right w:w="70" w:type="dxa"/>
            </w:tcMar>
          </w:tcPr>
          <w:p>
            <w:pPr>
              <w:jc w:val="left"/>
            </w:pPr>
            <w:r>
              <w:rPr>
                <w:rFonts w:ascii="Times New Roman" w:hAnsi="Times New Roman"/>
                <w:sz w:val="16"/>
              </w:rPr>
              <w:t>Built interactive skill testing module awarding verifiable digital badges on passing.</w:t>
            </w:r>
          </w:p>
        </w:tc>
        <w:tc>
          <w:tcPr>
            <w:tcW w:type="dxa" w:w="1584"/>
            <w:shd w:fill="F9FAFC"/>
            <w:tcMar>
              <w:top w:w="60" w:type="dxa"/>
              <w:bottom w:w="60" w:type="dxa"/>
              <w:left w:w="70" w:type="dxa"/>
              <w:right w:w="70" w:type="dxa"/>
            </w:tcMar>
          </w:tcPr>
          <w:p>
            <w:pPr>
              <w:jc w:val="left"/>
            </w:pPr>
            <w:r>
              <w:rPr>
                <w:rFonts w:ascii="Times New Roman" w:hAnsi="Times New Roman"/>
                <w:sz w:val="16"/>
              </w:rPr>
              <w:t>Verified practical competencies directly inside the recruitment portal.</w:t>
            </w:r>
          </w:p>
        </w:tc>
        <w:tc>
          <w:tcPr>
            <w:tcW w:type="dxa" w:w="1728"/>
            <w:shd w:fill="F9FAFC"/>
            <w:tcMar>
              <w:top w:w="60" w:type="dxa"/>
              <w:bottom w:w="60" w:type="dxa"/>
              <w:left w:w="70" w:type="dxa"/>
              <w:right w:w="70" w:type="dxa"/>
            </w:tcMar>
          </w:tcPr>
          <w:p>
            <w:pPr>
              <w:jc w:val="left"/>
            </w:pPr>
            <w:r>
              <w:rPr>
                <w:rFonts w:ascii="Times New Roman" w:hAnsi="Times New Roman"/>
                <w:sz w:val="16"/>
              </w:rPr>
              <w:t>Multiple-choice questions only; lacked hands-on code execution or repository analysis.</w:t>
            </w:r>
          </w:p>
        </w:tc>
      </w:tr>
      <w:tr>
        <w:tc>
          <w:tcPr>
            <w:tcW w:type="dxa" w:w="648"/>
            <w:shd w:fill="FFFFFF"/>
            <w:tcMar>
              <w:top w:w="60" w:type="dxa"/>
              <w:bottom w:w="60" w:type="dxa"/>
              <w:left w:w="70" w:type="dxa"/>
              <w:right w:w="70" w:type="dxa"/>
            </w:tcMar>
          </w:tcPr>
          <w:p>
            <w:pPr>
              <w:jc w:val="center"/>
            </w:pPr>
            <w:r>
              <w:rPr>
                <w:rFonts w:ascii="Times New Roman" w:hAnsi="Times New Roman"/>
                <w:b/>
                <w:sz w:val="16"/>
              </w:rPr>
              <w:t>P17</w:t>
            </w:r>
          </w:p>
        </w:tc>
        <w:tc>
          <w:tcPr>
            <w:tcW w:type="dxa" w:w="1512"/>
            <w:shd w:fill="FFFFFF"/>
            <w:tcMar>
              <w:top w:w="60" w:type="dxa"/>
              <w:bottom w:w="60" w:type="dxa"/>
              <w:left w:w="70" w:type="dxa"/>
              <w:right w:w="70" w:type="dxa"/>
            </w:tcMar>
          </w:tcPr>
          <w:p>
            <w:pPr>
              <w:jc w:val="left"/>
            </w:pPr>
            <w:r>
              <w:rPr>
                <w:rFonts w:ascii="Times New Roman" w:hAnsi="Times New Roman"/>
                <w:sz w:val="16"/>
              </w:rPr>
              <w:t>Rao &amp; Venkatesh (2023)</w:t>
            </w:r>
          </w:p>
        </w:tc>
        <w:tc>
          <w:tcPr>
            <w:tcW w:type="dxa" w:w="1368"/>
            <w:shd w:fill="FFFFFF"/>
            <w:tcMar>
              <w:top w:w="60" w:type="dxa"/>
              <w:bottom w:w="60" w:type="dxa"/>
              <w:left w:w="70" w:type="dxa"/>
              <w:right w:w="70" w:type="dxa"/>
            </w:tcMar>
          </w:tcPr>
          <w:p>
            <w:pPr>
              <w:jc w:val="left"/>
            </w:pPr>
            <w:r>
              <w:rPr>
                <w:rFonts w:ascii="Times New Roman" w:hAnsi="Times New Roman"/>
                <w:sz w:val="16"/>
              </w:rPr>
              <w:t>Multi-Tenant Architecture</w:t>
            </w:r>
          </w:p>
        </w:tc>
        <w:tc>
          <w:tcPr>
            <w:tcW w:type="dxa" w:w="1656"/>
            <w:shd w:fill="FFFFFF"/>
            <w:tcMar>
              <w:top w:w="60" w:type="dxa"/>
              <w:bottom w:w="60" w:type="dxa"/>
              <w:left w:w="70" w:type="dxa"/>
              <w:right w:w="70" w:type="dxa"/>
            </w:tcMar>
          </w:tcPr>
          <w:p>
            <w:pPr>
              <w:jc w:val="left"/>
            </w:pPr>
            <w:r>
              <w:rPr>
                <w:rFonts w:ascii="Times New Roman" w:hAnsi="Times New Roman"/>
                <w:sz w:val="16"/>
              </w:rPr>
              <w:t>Microservices, Docker, React, MongoDB</w:t>
            </w:r>
          </w:p>
        </w:tc>
        <w:tc>
          <w:tcPr>
            <w:tcW w:type="dxa" w:w="2016"/>
            <w:shd w:fill="FFFFFF"/>
            <w:tcMar>
              <w:top w:w="60" w:type="dxa"/>
              <w:bottom w:w="60" w:type="dxa"/>
              <w:left w:w="70" w:type="dxa"/>
              <w:right w:w="70" w:type="dxa"/>
            </w:tcMar>
          </w:tcPr>
          <w:p>
            <w:pPr>
              <w:jc w:val="left"/>
            </w:pPr>
            <w:r>
              <w:rPr>
                <w:rFonts w:ascii="Times New Roman" w:hAnsi="Times New Roman"/>
                <w:sz w:val="16"/>
              </w:rPr>
              <w:t>Designed decentralized placement architecture isolating data across engineering schools.</w:t>
            </w:r>
          </w:p>
        </w:tc>
        <w:tc>
          <w:tcPr>
            <w:tcW w:type="dxa" w:w="1584"/>
            <w:shd w:fill="FFFFFF"/>
            <w:tcMar>
              <w:top w:w="60" w:type="dxa"/>
              <w:bottom w:w="60" w:type="dxa"/>
              <w:left w:w="70" w:type="dxa"/>
              <w:right w:w="70" w:type="dxa"/>
            </w:tcMar>
          </w:tcPr>
          <w:p>
            <w:pPr>
              <w:jc w:val="left"/>
            </w:pPr>
            <w:r>
              <w:rPr>
                <w:rFonts w:ascii="Times New Roman" w:hAnsi="Times New Roman"/>
                <w:sz w:val="16"/>
              </w:rPr>
              <w:t>High data isolation, robust role permissions, and scalable tenant provisioning.</w:t>
            </w:r>
          </w:p>
        </w:tc>
        <w:tc>
          <w:tcPr>
            <w:tcW w:type="dxa" w:w="1728"/>
            <w:shd w:fill="FFFFFF"/>
            <w:tcMar>
              <w:top w:w="60" w:type="dxa"/>
              <w:bottom w:w="60" w:type="dxa"/>
              <w:left w:w="70" w:type="dxa"/>
              <w:right w:w="70" w:type="dxa"/>
            </w:tcMar>
          </w:tcPr>
          <w:p>
            <w:pPr>
              <w:jc w:val="left"/>
            </w:pPr>
            <w:r>
              <w:rPr>
                <w:rFonts w:ascii="Times New Roman" w:hAnsi="Times New Roman"/>
                <w:sz w:val="16"/>
              </w:rPr>
              <w:t>High operational complexity and DevOps deployment overhead for smaller universities.</w:t>
            </w:r>
          </w:p>
        </w:tc>
      </w:tr>
      <w:tr>
        <w:tc>
          <w:tcPr>
            <w:tcW w:type="dxa" w:w="648"/>
            <w:shd w:fill="F9FAFC"/>
            <w:tcMar>
              <w:top w:w="60" w:type="dxa"/>
              <w:bottom w:w="60" w:type="dxa"/>
              <w:left w:w="70" w:type="dxa"/>
              <w:right w:w="70" w:type="dxa"/>
            </w:tcMar>
          </w:tcPr>
          <w:p>
            <w:pPr>
              <w:jc w:val="center"/>
            </w:pPr>
            <w:r>
              <w:rPr>
                <w:rFonts w:ascii="Times New Roman" w:hAnsi="Times New Roman"/>
                <w:b/>
                <w:sz w:val="16"/>
              </w:rPr>
              <w:t>P18</w:t>
            </w:r>
          </w:p>
        </w:tc>
        <w:tc>
          <w:tcPr>
            <w:tcW w:type="dxa" w:w="1512"/>
            <w:shd w:fill="F9FAFC"/>
            <w:tcMar>
              <w:top w:w="60" w:type="dxa"/>
              <w:bottom w:w="60" w:type="dxa"/>
              <w:left w:w="70" w:type="dxa"/>
              <w:right w:w="70" w:type="dxa"/>
            </w:tcMar>
          </w:tcPr>
          <w:p>
            <w:pPr>
              <w:jc w:val="left"/>
            </w:pPr>
            <w:r>
              <w:rPr>
                <w:rFonts w:ascii="Times New Roman" w:hAnsi="Times New Roman"/>
                <w:sz w:val="16"/>
              </w:rPr>
              <w:t>Thomas et al. (2023)</w:t>
            </w:r>
          </w:p>
        </w:tc>
        <w:tc>
          <w:tcPr>
            <w:tcW w:type="dxa" w:w="1368"/>
            <w:shd w:fill="F9FAFC"/>
            <w:tcMar>
              <w:top w:w="60" w:type="dxa"/>
              <w:bottom w:w="60" w:type="dxa"/>
              <w:left w:w="70" w:type="dxa"/>
              <w:right w:w="70" w:type="dxa"/>
            </w:tcMar>
          </w:tcPr>
          <w:p>
            <w:pPr>
              <w:jc w:val="left"/>
            </w:pPr>
            <w:r>
              <w:rPr>
                <w:rFonts w:ascii="Times New Roman" w:hAnsi="Times New Roman"/>
                <w:sz w:val="16"/>
              </w:rPr>
              <w:t>Exam Integrity Engine</w:t>
            </w:r>
          </w:p>
        </w:tc>
        <w:tc>
          <w:tcPr>
            <w:tcW w:type="dxa" w:w="1656"/>
            <w:shd w:fill="F9FAFC"/>
            <w:tcMar>
              <w:top w:w="60" w:type="dxa"/>
              <w:bottom w:w="60" w:type="dxa"/>
              <w:left w:w="70" w:type="dxa"/>
              <w:right w:w="70" w:type="dxa"/>
            </w:tcMar>
          </w:tcPr>
          <w:p>
            <w:pPr>
              <w:jc w:val="left"/>
            </w:pPr>
            <w:r>
              <w:rPr>
                <w:rFonts w:ascii="Times New Roman" w:hAnsi="Times New Roman"/>
                <w:sz w:val="16"/>
              </w:rPr>
              <w:t>Randomized Question Pools, Anti-Tamper Payloads</w:t>
            </w:r>
          </w:p>
        </w:tc>
        <w:tc>
          <w:tcPr>
            <w:tcW w:type="dxa" w:w="2016"/>
            <w:shd w:fill="F9FAFC"/>
            <w:tcMar>
              <w:top w:w="60" w:type="dxa"/>
              <w:bottom w:w="60" w:type="dxa"/>
              <w:left w:w="70" w:type="dxa"/>
              <w:right w:w="70" w:type="dxa"/>
            </w:tcMar>
          </w:tcPr>
          <w:p>
            <w:pPr>
              <w:jc w:val="left"/>
            </w:pPr>
            <w:r>
              <w:rPr>
                <w:rFonts w:ascii="Times New Roman" w:hAnsi="Times New Roman"/>
                <w:sz w:val="16"/>
              </w:rPr>
              <w:t>Devised anti-cheating protocols for remote pre-placement screening tests.</w:t>
            </w:r>
          </w:p>
        </w:tc>
        <w:tc>
          <w:tcPr>
            <w:tcW w:type="dxa" w:w="1584"/>
            <w:shd w:fill="F9FAFC"/>
            <w:tcMar>
              <w:top w:w="60" w:type="dxa"/>
              <w:bottom w:w="60" w:type="dxa"/>
              <w:left w:w="70" w:type="dxa"/>
              <w:right w:w="70" w:type="dxa"/>
            </w:tcMar>
          </w:tcPr>
          <w:p>
            <w:pPr>
              <w:jc w:val="left"/>
            </w:pPr>
            <w:r>
              <w:rPr>
                <w:rFonts w:ascii="Times New Roman" w:hAnsi="Times New Roman"/>
                <w:sz w:val="16"/>
              </w:rPr>
              <w:t>Stripped correct answers from client HTTP responses; logged full attempt histories.</w:t>
            </w:r>
          </w:p>
        </w:tc>
        <w:tc>
          <w:tcPr>
            <w:tcW w:type="dxa" w:w="1728"/>
            <w:shd w:fill="F9FAFC"/>
            <w:tcMar>
              <w:top w:w="60" w:type="dxa"/>
              <w:bottom w:w="60" w:type="dxa"/>
              <w:left w:w="70" w:type="dxa"/>
              <w:right w:w="70" w:type="dxa"/>
            </w:tcMar>
          </w:tcPr>
          <w:p>
            <w:pPr>
              <w:jc w:val="left"/>
            </w:pPr>
            <w:r>
              <w:rPr>
                <w:rFonts w:ascii="Times New Roman" w:hAnsi="Times New Roman"/>
                <w:sz w:val="16"/>
              </w:rPr>
              <w:t>Susceptible to secondary screen sharing without webcam proctoring.</w:t>
            </w:r>
          </w:p>
        </w:tc>
      </w:tr>
      <w:tr>
        <w:tc>
          <w:tcPr>
            <w:tcW w:type="dxa" w:w="648"/>
            <w:shd w:fill="FFFFFF"/>
            <w:tcMar>
              <w:top w:w="60" w:type="dxa"/>
              <w:bottom w:w="60" w:type="dxa"/>
              <w:left w:w="70" w:type="dxa"/>
              <w:right w:w="70" w:type="dxa"/>
            </w:tcMar>
          </w:tcPr>
          <w:p>
            <w:pPr>
              <w:jc w:val="center"/>
            </w:pPr>
            <w:r>
              <w:rPr>
                <w:rFonts w:ascii="Times New Roman" w:hAnsi="Times New Roman"/>
                <w:b/>
                <w:sz w:val="16"/>
              </w:rPr>
              <w:t>P19</w:t>
            </w:r>
          </w:p>
        </w:tc>
        <w:tc>
          <w:tcPr>
            <w:tcW w:type="dxa" w:w="1512"/>
            <w:shd w:fill="FFFFFF"/>
            <w:tcMar>
              <w:top w:w="60" w:type="dxa"/>
              <w:bottom w:w="60" w:type="dxa"/>
              <w:left w:w="70" w:type="dxa"/>
              <w:right w:w="70" w:type="dxa"/>
            </w:tcMar>
          </w:tcPr>
          <w:p>
            <w:pPr>
              <w:jc w:val="left"/>
            </w:pPr>
            <w:r>
              <w:rPr>
                <w:rFonts w:ascii="Times New Roman" w:hAnsi="Times New Roman"/>
                <w:sz w:val="16"/>
              </w:rPr>
              <w:t>Nair &amp; Menon (2023)</w:t>
            </w:r>
          </w:p>
        </w:tc>
        <w:tc>
          <w:tcPr>
            <w:tcW w:type="dxa" w:w="1368"/>
            <w:shd w:fill="FFFFFF"/>
            <w:tcMar>
              <w:top w:w="60" w:type="dxa"/>
              <w:bottom w:w="60" w:type="dxa"/>
              <w:left w:w="70" w:type="dxa"/>
              <w:right w:w="70" w:type="dxa"/>
            </w:tcMar>
          </w:tcPr>
          <w:p>
            <w:pPr>
              <w:jc w:val="left"/>
            </w:pPr>
            <w:r>
              <w:rPr>
                <w:rFonts w:ascii="Times New Roman" w:hAnsi="Times New Roman"/>
                <w:sz w:val="16"/>
              </w:rPr>
              <w:t>Early Warning Placement System</w:t>
            </w:r>
          </w:p>
        </w:tc>
        <w:tc>
          <w:tcPr>
            <w:tcW w:type="dxa" w:w="1656"/>
            <w:shd w:fill="FFFFFF"/>
            <w:tcMar>
              <w:top w:w="60" w:type="dxa"/>
              <w:bottom w:w="60" w:type="dxa"/>
              <w:left w:w="70" w:type="dxa"/>
              <w:right w:w="70" w:type="dxa"/>
            </w:tcMar>
          </w:tcPr>
          <w:p>
            <w:pPr>
              <w:jc w:val="left"/>
            </w:pPr>
            <w:r>
              <w:rPr>
                <w:rFonts w:ascii="Times New Roman" w:hAnsi="Times New Roman"/>
                <w:sz w:val="16"/>
              </w:rPr>
              <w:t>Ensemble Random Forest, SMOTE Balancing</w:t>
            </w:r>
          </w:p>
        </w:tc>
        <w:tc>
          <w:tcPr>
            <w:tcW w:type="dxa" w:w="2016"/>
            <w:shd w:fill="FFFFFF"/>
            <w:tcMar>
              <w:top w:w="60" w:type="dxa"/>
              <w:bottom w:w="60" w:type="dxa"/>
              <w:left w:w="70" w:type="dxa"/>
              <w:right w:w="70" w:type="dxa"/>
            </w:tcMar>
          </w:tcPr>
          <w:p>
            <w:pPr>
              <w:jc w:val="left"/>
            </w:pPr>
            <w:r>
              <w:rPr>
                <w:rFonts w:ascii="Times New Roman" w:hAnsi="Times New Roman"/>
                <w:sz w:val="16"/>
              </w:rPr>
              <w:t>Identified students at risk of non-placement by end of 5th semester (88.1% recall).</w:t>
            </w:r>
          </w:p>
        </w:tc>
        <w:tc>
          <w:tcPr>
            <w:tcW w:type="dxa" w:w="1584"/>
            <w:shd w:fill="FFFFFF"/>
            <w:tcMar>
              <w:top w:w="60" w:type="dxa"/>
              <w:bottom w:w="60" w:type="dxa"/>
              <w:left w:w="70" w:type="dxa"/>
              <w:right w:w="70" w:type="dxa"/>
            </w:tcMar>
          </w:tcPr>
          <w:p>
            <w:pPr>
              <w:jc w:val="left"/>
            </w:pPr>
            <w:r>
              <w:rPr>
                <w:rFonts w:ascii="Times New Roman" w:hAnsi="Times New Roman"/>
                <w:sz w:val="16"/>
              </w:rPr>
              <w:t>Enabled proactive, timely academic remediation before final placement year.</w:t>
            </w:r>
          </w:p>
        </w:tc>
        <w:tc>
          <w:tcPr>
            <w:tcW w:type="dxa" w:w="1728"/>
            <w:shd w:fill="FFFFFF"/>
            <w:tcMar>
              <w:top w:w="60" w:type="dxa"/>
              <w:bottom w:w="60" w:type="dxa"/>
              <w:left w:w="70" w:type="dxa"/>
              <w:right w:w="70" w:type="dxa"/>
            </w:tcMar>
          </w:tcPr>
          <w:p>
            <w:pPr>
              <w:jc w:val="left"/>
            </w:pPr>
            <w:r>
              <w:rPr>
                <w:rFonts w:ascii="Times New Roman" w:hAnsi="Times New Roman"/>
                <w:sz w:val="16"/>
              </w:rPr>
              <w:t>High false positive rate on students with late-blooming technical skills.</w:t>
            </w:r>
          </w:p>
        </w:tc>
      </w:tr>
      <w:tr>
        <w:tc>
          <w:tcPr>
            <w:tcW w:type="dxa" w:w="648"/>
            <w:shd w:fill="F9FAFC"/>
            <w:tcMar>
              <w:top w:w="60" w:type="dxa"/>
              <w:bottom w:w="60" w:type="dxa"/>
              <w:left w:w="70" w:type="dxa"/>
              <w:right w:w="70" w:type="dxa"/>
            </w:tcMar>
          </w:tcPr>
          <w:p>
            <w:pPr>
              <w:jc w:val="center"/>
            </w:pPr>
            <w:r>
              <w:rPr>
                <w:rFonts w:ascii="Times New Roman" w:hAnsi="Times New Roman"/>
                <w:b/>
                <w:sz w:val="16"/>
              </w:rPr>
              <w:t>P20</w:t>
            </w:r>
          </w:p>
        </w:tc>
        <w:tc>
          <w:tcPr>
            <w:tcW w:type="dxa" w:w="1512"/>
            <w:shd w:fill="F9FAFC"/>
            <w:tcMar>
              <w:top w:w="60" w:type="dxa"/>
              <w:bottom w:w="60" w:type="dxa"/>
              <w:left w:w="70" w:type="dxa"/>
              <w:right w:w="70" w:type="dxa"/>
            </w:tcMar>
          </w:tcPr>
          <w:p>
            <w:pPr>
              <w:jc w:val="left"/>
            </w:pPr>
            <w:r>
              <w:rPr>
                <w:rFonts w:ascii="Times New Roman" w:hAnsi="Times New Roman"/>
                <w:sz w:val="16"/>
              </w:rPr>
              <w:t>Agrawal &amp; Kadam (2024)</w:t>
            </w:r>
          </w:p>
        </w:tc>
        <w:tc>
          <w:tcPr>
            <w:tcW w:type="dxa" w:w="1368"/>
            <w:shd w:fill="F9FAFC"/>
            <w:tcMar>
              <w:top w:w="60" w:type="dxa"/>
              <w:bottom w:w="60" w:type="dxa"/>
              <w:left w:w="70" w:type="dxa"/>
              <w:right w:w="70" w:type="dxa"/>
            </w:tcMar>
          </w:tcPr>
          <w:p>
            <w:pPr>
              <w:jc w:val="left"/>
            </w:pPr>
            <w:r>
              <w:rPr>
                <w:rFonts w:ascii="Times New Roman" w:hAnsi="Times New Roman"/>
                <w:sz w:val="16"/>
              </w:rPr>
              <w:t>Multi-Parameter Analytics</w:t>
            </w:r>
          </w:p>
        </w:tc>
        <w:tc>
          <w:tcPr>
            <w:tcW w:type="dxa" w:w="1656"/>
            <w:shd w:fill="F9FAFC"/>
            <w:tcMar>
              <w:top w:w="60" w:type="dxa"/>
              <w:bottom w:w="60" w:type="dxa"/>
              <w:left w:w="70" w:type="dxa"/>
              <w:right w:w="70" w:type="dxa"/>
            </w:tcMar>
          </w:tcPr>
          <w:p>
            <w:pPr>
              <w:jc w:val="left"/>
            </w:pPr>
            <w:r>
              <w:rPr>
                <w:rFonts w:ascii="Times New Roman" w:hAnsi="Times New Roman"/>
                <w:sz w:val="16"/>
              </w:rPr>
              <w:t>Random Forest, Extra Trees, CatBoost</w:t>
            </w:r>
          </w:p>
        </w:tc>
        <w:tc>
          <w:tcPr>
            <w:tcW w:type="dxa" w:w="2016"/>
            <w:shd w:fill="F9FAFC"/>
            <w:tcMar>
              <w:top w:w="60" w:type="dxa"/>
              <w:bottom w:w="60" w:type="dxa"/>
              <w:left w:w="70" w:type="dxa"/>
              <w:right w:w="70" w:type="dxa"/>
            </w:tcMar>
          </w:tcPr>
          <w:p>
            <w:pPr>
              <w:jc w:val="left"/>
            </w:pPr>
            <w:r>
              <w:rPr>
                <w:rFonts w:ascii="Times New Roman" w:hAnsi="Times New Roman"/>
                <w:sz w:val="16"/>
              </w:rPr>
              <w:t>Evaluated 18 parameters including GitHub commits, competitive coding, and internships.</w:t>
            </w:r>
          </w:p>
        </w:tc>
        <w:tc>
          <w:tcPr>
            <w:tcW w:type="dxa" w:w="1584"/>
            <w:shd w:fill="F9FAFC"/>
            <w:tcMar>
              <w:top w:w="60" w:type="dxa"/>
              <w:bottom w:w="60" w:type="dxa"/>
              <w:left w:w="70" w:type="dxa"/>
              <w:right w:w="70" w:type="dxa"/>
            </w:tcMar>
          </w:tcPr>
          <w:p>
            <w:pPr>
              <w:jc w:val="left"/>
            </w:pPr>
            <w:r>
              <w:rPr>
                <w:rFonts w:ascii="Times New Roman" w:hAnsi="Times New Roman"/>
                <w:sz w:val="16"/>
              </w:rPr>
              <w:t>Proved non-academic coding metrics outweigh CGPA by 28% in product companies.</w:t>
            </w:r>
          </w:p>
        </w:tc>
        <w:tc>
          <w:tcPr>
            <w:tcW w:type="dxa" w:w="1728"/>
            <w:shd w:fill="F9FAFC"/>
            <w:tcMar>
              <w:top w:w="60" w:type="dxa"/>
              <w:bottom w:w="60" w:type="dxa"/>
              <w:left w:w="70" w:type="dxa"/>
              <w:right w:w="70" w:type="dxa"/>
            </w:tcMar>
          </w:tcPr>
          <w:p>
            <w:pPr>
              <w:jc w:val="left"/>
            </w:pPr>
            <w:r>
              <w:rPr>
                <w:rFonts w:ascii="Times New Roman" w:hAnsi="Times New Roman"/>
                <w:sz w:val="16"/>
              </w:rPr>
              <w:t>Manual data collection for external coding platform metrics; no automated API sync.</w:t>
            </w:r>
          </w:p>
        </w:tc>
      </w:tr>
      <w:tr>
        <w:tc>
          <w:tcPr>
            <w:tcW w:type="dxa" w:w="648"/>
            <w:shd w:fill="FFFFFF"/>
            <w:tcMar>
              <w:top w:w="60" w:type="dxa"/>
              <w:bottom w:w="60" w:type="dxa"/>
              <w:left w:w="70" w:type="dxa"/>
              <w:right w:w="70" w:type="dxa"/>
            </w:tcMar>
          </w:tcPr>
          <w:p>
            <w:pPr>
              <w:jc w:val="center"/>
            </w:pPr>
            <w:r>
              <w:rPr>
                <w:rFonts w:ascii="Times New Roman" w:hAnsi="Times New Roman"/>
                <w:b/>
                <w:sz w:val="16"/>
              </w:rPr>
              <w:t>P21</w:t>
            </w:r>
          </w:p>
        </w:tc>
        <w:tc>
          <w:tcPr>
            <w:tcW w:type="dxa" w:w="1512"/>
            <w:shd w:fill="FFFFFF"/>
            <w:tcMar>
              <w:top w:w="60" w:type="dxa"/>
              <w:bottom w:w="60" w:type="dxa"/>
              <w:left w:w="70" w:type="dxa"/>
              <w:right w:w="70" w:type="dxa"/>
            </w:tcMar>
          </w:tcPr>
          <w:p>
            <w:pPr>
              <w:jc w:val="left"/>
            </w:pPr>
            <w:r>
              <w:rPr>
                <w:rFonts w:ascii="Times New Roman" w:hAnsi="Times New Roman"/>
                <w:sz w:val="16"/>
              </w:rPr>
              <w:t>Pathak et al. (2025)</w:t>
            </w:r>
          </w:p>
        </w:tc>
        <w:tc>
          <w:tcPr>
            <w:tcW w:type="dxa" w:w="1368"/>
            <w:shd w:fill="FFFFFF"/>
            <w:tcMar>
              <w:top w:w="60" w:type="dxa"/>
              <w:bottom w:w="60" w:type="dxa"/>
              <w:left w:w="70" w:type="dxa"/>
              <w:right w:w="70" w:type="dxa"/>
            </w:tcMar>
          </w:tcPr>
          <w:p>
            <w:pPr>
              <w:jc w:val="left"/>
            </w:pPr>
            <w:r>
              <w:rPr>
                <w:rFonts w:ascii="Times New Roman" w:hAnsi="Times New Roman"/>
                <w:sz w:val="16"/>
              </w:rPr>
              <w:t>Ensemble Voting Pipeline</w:t>
            </w:r>
          </w:p>
        </w:tc>
        <w:tc>
          <w:tcPr>
            <w:tcW w:type="dxa" w:w="1656"/>
            <w:shd w:fill="FFFFFF"/>
            <w:tcMar>
              <w:top w:w="60" w:type="dxa"/>
              <w:bottom w:w="60" w:type="dxa"/>
              <w:left w:w="70" w:type="dxa"/>
              <w:right w:w="70" w:type="dxa"/>
            </w:tcMar>
          </w:tcPr>
          <w:p>
            <w:pPr>
              <w:jc w:val="left"/>
            </w:pPr>
            <w:r>
              <w:rPr>
                <w:rFonts w:ascii="Times New Roman" w:hAnsi="Times New Roman"/>
                <w:sz w:val="16"/>
              </w:rPr>
              <w:t>Soft-Voting Classifier (XGBoost + RF + ANN)</w:t>
            </w:r>
          </w:p>
        </w:tc>
        <w:tc>
          <w:tcPr>
            <w:tcW w:type="dxa" w:w="2016"/>
            <w:shd w:fill="FFFFFF"/>
            <w:tcMar>
              <w:top w:w="60" w:type="dxa"/>
              <w:bottom w:w="60" w:type="dxa"/>
              <w:left w:w="70" w:type="dxa"/>
              <w:right w:w="70" w:type="dxa"/>
            </w:tcMar>
          </w:tcPr>
          <w:p>
            <w:pPr>
              <w:jc w:val="left"/>
            </w:pPr>
            <w:r>
              <w:rPr>
                <w:rFonts w:ascii="Times New Roman" w:hAnsi="Times New Roman"/>
                <w:sz w:val="16"/>
              </w:rPr>
              <w:t>Developed end-to-end preprocessing, categorical encoding, and voting classifier (94.8% Acc).</w:t>
            </w:r>
          </w:p>
        </w:tc>
        <w:tc>
          <w:tcPr>
            <w:tcW w:type="dxa" w:w="1584"/>
            <w:shd w:fill="FFFFFF"/>
            <w:tcMar>
              <w:top w:w="60" w:type="dxa"/>
              <w:bottom w:w="60" w:type="dxa"/>
              <w:left w:w="70" w:type="dxa"/>
              <w:right w:w="70" w:type="dxa"/>
            </w:tcMar>
          </w:tcPr>
          <w:p>
            <w:pPr>
              <w:jc w:val="left"/>
            </w:pPr>
            <w:r>
              <w:rPr>
                <w:rFonts w:ascii="Times New Roman" w:hAnsi="Times New Roman"/>
                <w:sz w:val="16"/>
              </w:rPr>
              <w:t>State-of-the-art predictive accuracy on benchmark engineering datasets.</w:t>
            </w:r>
          </w:p>
        </w:tc>
        <w:tc>
          <w:tcPr>
            <w:tcW w:type="dxa" w:w="1728"/>
            <w:shd w:fill="FFFFFF"/>
            <w:tcMar>
              <w:top w:w="60" w:type="dxa"/>
              <w:bottom w:w="60" w:type="dxa"/>
              <w:left w:w="70" w:type="dxa"/>
              <w:right w:w="70" w:type="dxa"/>
            </w:tcMar>
          </w:tcPr>
          <w:p>
            <w:pPr>
              <w:jc w:val="left"/>
            </w:pPr>
            <w:r>
              <w:rPr>
                <w:rFonts w:ascii="Times New Roman" w:hAnsi="Times New Roman"/>
                <w:sz w:val="16"/>
              </w:rPr>
              <w:t>High computational complexity; ensemble latency during bulk inference.</w:t>
            </w:r>
          </w:p>
        </w:tc>
      </w:tr>
      <w:tr>
        <w:tc>
          <w:tcPr>
            <w:tcW w:type="dxa" w:w="648"/>
            <w:shd w:fill="F9FAFC"/>
            <w:tcMar>
              <w:top w:w="60" w:type="dxa"/>
              <w:bottom w:w="60" w:type="dxa"/>
              <w:left w:w="70" w:type="dxa"/>
              <w:right w:w="70" w:type="dxa"/>
            </w:tcMar>
          </w:tcPr>
          <w:p>
            <w:pPr>
              <w:jc w:val="center"/>
            </w:pPr>
            <w:r>
              <w:rPr>
                <w:rFonts w:ascii="Times New Roman" w:hAnsi="Times New Roman"/>
                <w:b/>
                <w:sz w:val="16"/>
              </w:rPr>
              <w:t>P22</w:t>
            </w:r>
          </w:p>
        </w:tc>
        <w:tc>
          <w:tcPr>
            <w:tcW w:type="dxa" w:w="1512"/>
            <w:shd w:fill="F9FAFC"/>
            <w:tcMar>
              <w:top w:w="60" w:type="dxa"/>
              <w:bottom w:w="60" w:type="dxa"/>
              <w:left w:w="70" w:type="dxa"/>
              <w:right w:w="70" w:type="dxa"/>
            </w:tcMar>
          </w:tcPr>
          <w:p>
            <w:pPr>
              <w:jc w:val="left"/>
            </w:pPr>
            <w:r>
              <w:rPr>
                <w:rFonts w:ascii="Times New Roman" w:hAnsi="Times New Roman"/>
                <w:sz w:val="16"/>
              </w:rPr>
              <w:t>Gupta et al. (2024)</w:t>
            </w:r>
          </w:p>
        </w:tc>
        <w:tc>
          <w:tcPr>
            <w:tcW w:type="dxa" w:w="1368"/>
            <w:shd w:fill="F9FAFC"/>
            <w:tcMar>
              <w:top w:w="60" w:type="dxa"/>
              <w:bottom w:w="60" w:type="dxa"/>
              <w:left w:w="70" w:type="dxa"/>
              <w:right w:w="70" w:type="dxa"/>
            </w:tcMar>
          </w:tcPr>
          <w:p>
            <w:pPr>
              <w:jc w:val="left"/>
            </w:pPr>
            <w:r>
              <w:rPr>
                <w:rFonts w:ascii="Times New Roman" w:hAnsi="Times New Roman"/>
                <w:sz w:val="16"/>
              </w:rPr>
              <w:t>Explainable AI (XAI)</w:t>
            </w:r>
          </w:p>
        </w:tc>
        <w:tc>
          <w:tcPr>
            <w:tcW w:type="dxa" w:w="1656"/>
            <w:shd w:fill="F9FAFC"/>
            <w:tcMar>
              <w:top w:w="60" w:type="dxa"/>
              <w:bottom w:w="60" w:type="dxa"/>
              <w:left w:w="70" w:type="dxa"/>
              <w:right w:w="70" w:type="dxa"/>
            </w:tcMar>
          </w:tcPr>
          <w:p>
            <w:pPr>
              <w:jc w:val="left"/>
            </w:pPr>
            <w:r>
              <w:rPr>
                <w:rFonts w:ascii="Times New Roman" w:hAnsi="Times New Roman"/>
                <w:sz w:val="16"/>
              </w:rPr>
              <w:t>SHAP, LIME, XGBoost, Streamlit</w:t>
            </w:r>
          </w:p>
        </w:tc>
        <w:tc>
          <w:tcPr>
            <w:tcW w:type="dxa" w:w="2016"/>
            <w:shd w:fill="F9FAFC"/>
            <w:tcMar>
              <w:top w:w="60" w:type="dxa"/>
              <w:bottom w:w="60" w:type="dxa"/>
              <w:left w:w="70" w:type="dxa"/>
              <w:right w:w="70" w:type="dxa"/>
            </w:tcMar>
          </w:tcPr>
          <w:p>
            <w:pPr>
              <w:jc w:val="left"/>
            </w:pPr>
            <w:r>
              <w:rPr>
                <w:rFonts w:ascii="Times New Roman" w:hAnsi="Times New Roman"/>
                <w:sz w:val="16"/>
              </w:rPr>
              <w:t>Implemented model interpretability layers explaining why a student was flagged as not-placed.</w:t>
            </w:r>
          </w:p>
        </w:tc>
        <w:tc>
          <w:tcPr>
            <w:tcW w:type="dxa" w:w="1584"/>
            <w:shd w:fill="F9FAFC"/>
            <w:tcMar>
              <w:top w:w="60" w:type="dxa"/>
              <w:bottom w:w="60" w:type="dxa"/>
              <w:left w:w="70" w:type="dxa"/>
              <w:right w:w="70" w:type="dxa"/>
            </w:tcMar>
          </w:tcPr>
          <w:p>
            <w:pPr>
              <w:jc w:val="left"/>
            </w:pPr>
            <w:r>
              <w:rPr>
                <w:rFonts w:ascii="Times New Roman" w:hAnsi="Times New Roman"/>
                <w:sz w:val="16"/>
              </w:rPr>
              <w:t>High transparency; gives students actionable feature-importance recommendations.</w:t>
            </w:r>
          </w:p>
        </w:tc>
        <w:tc>
          <w:tcPr>
            <w:tcW w:type="dxa" w:w="1728"/>
            <w:shd w:fill="F9FAFC"/>
            <w:tcMar>
              <w:top w:w="60" w:type="dxa"/>
              <w:bottom w:w="60" w:type="dxa"/>
              <w:left w:w="70" w:type="dxa"/>
              <w:right w:w="70" w:type="dxa"/>
            </w:tcMar>
          </w:tcPr>
          <w:p>
            <w:pPr>
              <w:jc w:val="left"/>
            </w:pPr>
            <w:r>
              <w:rPr>
                <w:rFonts w:ascii="Times New Roman" w:hAnsi="Times New Roman"/>
                <w:sz w:val="16"/>
              </w:rPr>
              <w:t>SHAP values require significant memory and CPU cycles to compute dynamically.</w:t>
            </w:r>
          </w:p>
        </w:tc>
      </w:tr>
      <w:tr>
        <w:tc>
          <w:tcPr>
            <w:tcW w:type="dxa" w:w="648"/>
            <w:shd w:fill="FFFFFF"/>
            <w:tcMar>
              <w:top w:w="60" w:type="dxa"/>
              <w:bottom w:w="60" w:type="dxa"/>
              <w:left w:w="70" w:type="dxa"/>
              <w:right w:w="70" w:type="dxa"/>
            </w:tcMar>
          </w:tcPr>
          <w:p>
            <w:pPr>
              <w:jc w:val="center"/>
            </w:pPr>
            <w:r>
              <w:rPr>
                <w:rFonts w:ascii="Times New Roman" w:hAnsi="Times New Roman"/>
                <w:b/>
                <w:sz w:val="16"/>
              </w:rPr>
              <w:t>P23</w:t>
            </w:r>
          </w:p>
        </w:tc>
        <w:tc>
          <w:tcPr>
            <w:tcW w:type="dxa" w:w="1512"/>
            <w:shd w:fill="FFFFFF"/>
            <w:tcMar>
              <w:top w:w="60" w:type="dxa"/>
              <w:bottom w:w="60" w:type="dxa"/>
              <w:left w:w="70" w:type="dxa"/>
              <w:right w:w="70" w:type="dxa"/>
            </w:tcMar>
          </w:tcPr>
          <w:p>
            <w:pPr>
              <w:jc w:val="left"/>
            </w:pPr>
            <w:r>
              <w:rPr>
                <w:rFonts w:ascii="Times New Roman" w:hAnsi="Times New Roman"/>
                <w:sz w:val="16"/>
              </w:rPr>
              <w:t>Choudhury et al. (2024)</w:t>
            </w:r>
          </w:p>
        </w:tc>
        <w:tc>
          <w:tcPr>
            <w:tcW w:type="dxa" w:w="1368"/>
            <w:shd w:fill="FFFFFF"/>
            <w:tcMar>
              <w:top w:w="60" w:type="dxa"/>
              <w:bottom w:w="60" w:type="dxa"/>
              <w:left w:w="70" w:type="dxa"/>
              <w:right w:w="70" w:type="dxa"/>
            </w:tcMar>
          </w:tcPr>
          <w:p>
            <w:pPr>
              <w:jc w:val="left"/>
            </w:pPr>
            <w:r>
              <w:rPr>
                <w:rFonts w:ascii="Times New Roman" w:hAnsi="Times New Roman"/>
                <w:sz w:val="16"/>
              </w:rPr>
              <w:t>Contextual Job-Fit Matching</w:t>
            </w:r>
          </w:p>
        </w:tc>
        <w:tc>
          <w:tcPr>
            <w:tcW w:type="dxa" w:w="1656"/>
            <w:shd w:fill="FFFFFF"/>
            <w:tcMar>
              <w:top w:w="60" w:type="dxa"/>
              <w:bottom w:w="60" w:type="dxa"/>
              <w:left w:w="70" w:type="dxa"/>
              <w:right w:w="70" w:type="dxa"/>
            </w:tcMar>
          </w:tcPr>
          <w:p>
            <w:pPr>
              <w:jc w:val="left"/>
            </w:pPr>
            <w:r>
              <w:rPr>
                <w:rFonts w:ascii="Times New Roman" w:hAnsi="Times New Roman"/>
                <w:sz w:val="16"/>
              </w:rPr>
              <w:t>Fine-tuned RoBERTa, Vector Database (Milvus)</w:t>
            </w:r>
          </w:p>
        </w:tc>
        <w:tc>
          <w:tcPr>
            <w:tcW w:type="dxa" w:w="2016"/>
            <w:shd w:fill="FFFFFF"/>
            <w:tcMar>
              <w:top w:w="60" w:type="dxa"/>
              <w:bottom w:w="60" w:type="dxa"/>
              <w:left w:w="70" w:type="dxa"/>
              <w:right w:w="70" w:type="dxa"/>
            </w:tcMar>
          </w:tcPr>
          <w:p>
            <w:pPr>
              <w:jc w:val="left"/>
            </w:pPr>
            <w:r>
              <w:rPr>
                <w:rFonts w:ascii="Times New Roman" w:hAnsi="Times New Roman"/>
                <w:sz w:val="16"/>
              </w:rPr>
              <w:t>Project-level matching linking student GitHub readmes to recruiter technical specs.</w:t>
            </w:r>
          </w:p>
        </w:tc>
        <w:tc>
          <w:tcPr>
            <w:tcW w:type="dxa" w:w="1584"/>
            <w:shd w:fill="FFFFFF"/>
            <w:tcMar>
              <w:top w:w="60" w:type="dxa"/>
              <w:bottom w:w="60" w:type="dxa"/>
              <w:left w:w="70" w:type="dxa"/>
              <w:right w:w="70" w:type="dxa"/>
            </w:tcMar>
          </w:tcPr>
          <w:p>
            <w:pPr>
              <w:jc w:val="left"/>
            </w:pPr>
            <w:r>
              <w:rPr>
                <w:rFonts w:ascii="Times New Roman" w:hAnsi="Times New Roman"/>
                <w:sz w:val="16"/>
              </w:rPr>
              <w:t>Contextual candidate ranking achieving 0.92 NDCG@10 score.</w:t>
            </w:r>
          </w:p>
        </w:tc>
        <w:tc>
          <w:tcPr>
            <w:tcW w:type="dxa" w:w="1728"/>
            <w:shd w:fill="FFFFFF"/>
            <w:tcMar>
              <w:top w:w="60" w:type="dxa"/>
              <w:bottom w:w="60" w:type="dxa"/>
              <w:left w:w="70" w:type="dxa"/>
              <w:right w:w="70" w:type="dxa"/>
            </w:tcMar>
          </w:tcPr>
          <w:p>
            <w:pPr>
              <w:jc w:val="left"/>
            </w:pPr>
            <w:r>
              <w:rPr>
                <w:rFonts w:ascii="Times New Roman" w:hAnsi="Times New Roman"/>
                <w:sz w:val="16"/>
              </w:rPr>
              <w:t>Complex vector database setup required; not natively integrated into standard college portals.</w:t>
            </w:r>
          </w:p>
        </w:tc>
      </w:tr>
      <w:tr>
        <w:tc>
          <w:tcPr>
            <w:tcW w:type="dxa" w:w="648"/>
            <w:shd w:fill="F9FAFC"/>
            <w:tcMar>
              <w:top w:w="60" w:type="dxa"/>
              <w:bottom w:w="60" w:type="dxa"/>
              <w:left w:w="70" w:type="dxa"/>
              <w:right w:w="70" w:type="dxa"/>
            </w:tcMar>
          </w:tcPr>
          <w:p>
            <w:pPr>
              <w:jc w:val="center"/>
            </w:pPr>
            <w:r>
              <w:rPr>
                <w:rFonts w:ascii="Times New Roman" w:hAnsi="Times New Roman"/>
                <w:b/>
                <w:sz w:val="16"/>
              </w:rPr>
              <w:t>P24</w:t>
            </w:r>
          </w:p>
        </w:tc>
        <w:tc>
          <w:tcPr>
            <w:tcW w:type="dxa" w:w="1512"/>
            <w:shd w:fill="F9FAFC"/>
            <w:tcMar>
              <w:top w:w="60" w:type="dxa"/>
              <w:bottom w:w="60" w:type="dxa"/>
              <w:left w:w="70" w:type="dxa"/>
              <w:right w:w="70" w:type="dxa"/>
            </w:tcMar>
          </w:tcPr>
          <w:p>
            <w:pPr>
              <w:jc w:val="left"/>
            </w:pPr>
            <w:r>
              <w:rPr>
                <w:rFonts w:ascii="Times New Roman" w:hAnsi="Times New Roman"/>
                <w:sz w:val="16"/>
              </w:rPr>
              <w:t>Verma et al. (2024)</w:t>
            </w:r>
          </w:p>
        </w:tc>
        <w:tc>
          <w:tcPr>
            <w:tcW w:type="dxa" w:w="1368"/>
            <w:shd w:fill="F9FAFC"/>
            <w:tcMar>
              <w:top w:w="60" w:type="dxa"/>
              <w:bottom w:w="60" w:type="dxa"/>
              <w:left w:w="70" w:type="dxa"/>
              <w:right w:w="70" w:type="dxa"/>
            </w:tcMar>
          </w:tcPr>
          <w:p>
            <w:pPr>
              <w:jc w:val="left"/>
            </w:pPr>
            <w:r>
              <w:rPr>
                <w:rFonts w:ascii="Times New Roman" w:hAnsi="Times New Roman"/>
                <w:sz w:val="16"/>
              </w:rPr>
              <w:t>LLM Resume Optimization</w:t>
            </w:r>
          </w:p>
        </w:tc>
        <w:tc>
          <w:tcPr>
            <w:tcW w:type="dxa" w:w="1656"/>
            <w:shd w:fill="F9FAFC"/>
            <w:tcMar>
              <w:top w:w="60" w:type="dxa"/>
              <w:bottom w:w="60" w:type="dxa"/>
              <w:left w:w="70" w:type="dxa"/>
              <w:right w:w="70" w:type="dxa"/>
            </w:tcMar>
          </w:tcPr>
          <w:p>
            <w:pPr>
              <w:jc w:val="left"/>
            </w:pPr>
            <w:r>
              <w:rPr>
                <w:rFonts w:ascii="Times New Roman" w:hAnsi="Times New Roman"/>
                <w:sz w:val="16"/>
              </w:rPr>
              <w:t>Quantized Llama-3, LoRA Fine-Tuning</w:t>
            </w:r>
          </w:p>
        </w:tc>
        <w:tc>
          <w:tcPr>
            <w:tcW w:type="dxa" w:w="2016"/>
            <w:shd w:fill="F9FAFC"/>
            <w:tcMar>
              <w:top w:w="60" w:type="dxa"/>
              <w:bottom w:w="60" w:type="dxa"/>
              <w:left w:w="70" w:type="dxa"/>
              <w:right w:w="70" w:type="dxa"/>
            </w:tcMar>
          </w:tcPr>
          <w:p>
            <w:pPr>
              <w:jc w:val="left"/>
            </w:pPr>
            <w:r>
              <w:rPr>
                <w:rFonts w:ascii="Times New Roman" w:hAnsi="Times New Roman"/>
                <w:sz w:val="16"/>
              </w:rPr>
              <w:t>Deployed local LLM to review student resumes and suggest ATS keyword revisions.</w:t>
            </w:r>
          </w:p>
        </w:tc>
        <w:tc>
          <w:tcPr>
            <w:tcW w:type="dxa" w:w="1584"/>
            <w:shd w:fill="F9FAFC"/>
            <w:tcMar>
              <w:top w:w="60" w:type="dxa"/>
              <w:bottom w:w="60" w:type="dxa"/>
              <w:left w:w="70" w:type="dxa"/>
              <w:right w:w="70" w:type="dxa"/>
            </w:tcMar>
          </w:tcPr>
          <w:p>
            <w:pPr>
              <w:jc w:val="left"/>
            </w:pPr>
            <w:r>
              <w:rPr>
                <w:rFonts w:ascii="Times New Roman" w:hAnsi="Times New Roman"/>
                <w:sz w:val="16"/>
              </w:rPr>
              <w:t>Generated tailored resume summaries and highlighted missing hard skills.</w:t>
            </w:r>
          </w:p>
        </w:tc>
        <w:tc>
          <w:tcPr>
            <w:tcW w:type="dxa" w:w="1728"/>
            <w:shd w:fill="F9FAFC"/>
            <w:tcMar>
              <w:top w:w="60" w:type="dxa"/>
              <w:bottom w:w="60" w:type="dxa"/>
              <w:left w:w="70" w:type="dxa"/>
              <w:right w:w="70" w:type="dxa"/>
            </w:tcMar>
          </w:tcPr>
          <w:p>
            <w:pPr>
              <w:jc w:val="left"/>
            </w:pPr>
            <w:r>
              <w:rPr>
                <w:rFonts w:ascii="Times New Roman" w:hAnsi="Times New Roman"/>
                <w:sz w:val="16"/>
              </w:rPr>
              <w:t>High inference latency; requires local GPU infrastructure or paid external API tokens.</w:t>
            </w:r>
          </w:p>
        </w:tc>
      </w:tr>
      <w:tr>
        <w:tc>
          <w:tcPr>
            <w:tcW w:type="dxa" w:w="648"/>
            <w:shd w:fill="FFFFFF"/>
            <w:tcMar>
              <w:top w:w="60" w:type="dxa"/>
              <w:bottom w:w="60" w:type="dxa"/>
              <w:left w:w="70" w:type="dxa"/>
              <w:right w:w="70" w:type="dxa"/>
            </w:tcMar>
          </w:tcPr>
          <w:p>
            <w:pPr>
              <w:jc w:val="center"/>
            </w:pPr>
            <w:r>
              <w:rPr>
                <w:rFonts w:ascii="Times New Roman" w:hAnsi="Times New Roman"/>
                <w:b/>
                <w:sz w:val="16"/>
              </w:rPr>
              <w:t>P25</w:t>
            </w:r>
          </w:p>
        </w:tc>
        <w:tc>
          <w:tcPr>
            <w:tcW w:type="dxa" w:w="1512"/>
            <w:shd w:fill="FFFFFF"/>
            <w:tcMar>
              <w:top w:w="60" w:type="dxa"/>
              <w:bottom w:w="60" w:type="dxa"/>
              <w:left w:w="70" w:type="dxa"/>
              <w:right w:w="70" w:type="dxa"/>
            </w:tcMar>
          </w:tcPr>
          <w:p>
            <w:pPr>
              <w:jc w:val="left"/>
            </w:pPr>
            <w:r>
              <w:rPr>
                <w:rFonts w:ascii="Times New Roman" w:hAnsi="Times New Roman"/>
                <w:sz w:val="16"/>
              </w:rPr>
              <w:t>Sundar et al. (2024)</w:t>
            </w:r>
          </w:p>
        </w:tc>
        <w:tc>
          <w:tcPr>
            <w:tcW w:type="dxa" w:w="1368"/>
            <w:shd w:fill="FFFFFF"/>
            <w:tcMar>
              <w:top w:w="60" w:type="dxa"/>
              <w:bottom w:w="60" w:type="dxa"/>
              <w:left w:w="70" w:type="dxa"/>
              <w:right w:w="70" w:type="dxa"/>
            </w:tcMar>
          </w:tcPr>
          <w:p>
            <w:pPr>
              <w:jc w:val="left"/>
            </w:pPr>
            <w:r>
              <w:rPr>
                <w:rFonts w:ascii="Times New Roman" w:hAnsi="Times New Roman"/>
                <w:sz w:val="16"/>
              </w:rPr>
              <w:t>Graph Neural Networks (GNN)</w:t>
            </w:r>
          </w:p>
        </w:tc>
        <w:tc>
          <w:tcPr>
            <w:tcW w:type="dxa" w:w="1656"/>
            <w:shd w:fill="FFFFFF"/>
            <w:tcMar>
              <w:top w:w="60" w:type="dxa"/>
              <w:bottom w:w="60" w:type="dxa"/>
              <w:left w:w="70" w:type="dxa"/>
              <w:right w:w="70" w:type="dxa"/>
            </w:tcMar>
          </w:tcPr>
          <w:p>
            <w:pPr>
              <w:jc w:val="left"/>
            </w:pPr>
            <w:r>
              <w:rPr>
                <w:rFonts w:ascii="Times New Roman" w:hAnsi="Times New Roman"/>
                <w:sz w:val="16"/>
              </w:rPr>
              <w:t>Heterogeneous Information Networks (HIN), GNN</w:t>
            </w:r>
          </w:p>
        </w:tc>
        <w:tc>
          <w:tcPr>
            <w:tcW w:type="dxa" w:w="2016"/>
            <w:shd w:fill="FFFFFF"/>
            <w:tcMar>
              <w:top w:w="60" w:type="dxa"/>
              <w:bottom w:w="60" w:type="dxa"/>
              <w:left w:w="70" w:type="dxa"/>
              <w:right w:w="70" w:type="dxa"/>
            </w:tcMar>
          </w:tcPr>
          <w:p>
            <w:pPr>
              <w:jc w:val="left"/>
            </w:pPr>
            <w:r>
              <w:rPr>
                <w:rFonts w:ascii="Times New Roman" w:hAnsi="Times New Roman"/>
                <w:sz w:val="16"/>
              </w:rPr>
              <w:t>Modeled students, recruiters, skills, and alumni as graph nodes for mutual recommendation.</w:t>
            </w:r>
          </w:p>
        </w:tc>
        <w:tc>
          <w:tcPr>
            <w:tcW w:type="dxa" w:w="1584"/>
            <w:shd w:fill="FFFFFF"/>
            <w:tcMar>
              <w:top w:w="60" w:type="dxa"/>
              <w:bottom w:w="60" w:type="dxa"/>
              <w:left w:w="70" w:type="dxa"/>
              <w:right w:w="70" w:type="dxa"/>
            </w:tcMar>
          </w:tcPr>
          <w:p>
            <w:pPr>
              <w:jc w:val="left"/>
            </w:pPr>
            <w:r>
              <w:rPr>
                <w:rFonts w:ascii="Times New Roman" w:hAnsi="Times New Roman"/>
                <w:sz w:val="16"/>
              </w:rPr>
              <w:t>Captured higher-order relational dependencies across historical hiring cycles.</w:t>
            </w:r>
          </w:p>
        </w:tc>
        <w:tc>
          <w:tcPr>
            <w:tcW w:type="dxa" w:w="1728"/>
            <w:shd w:fill="FFFFFF"/>
            <w:tcMar>
              <w:top w:w="60" w:type="dxa"/>
              <w:bottom w:w="60" w:type="dxa"/>
              <w:left w:w="70" w:type="dxa"/>
              <w:right w:w="70" w:type="dxa"/>
            </w:tcMar>
          </w:tcPr>
          <w:p>
            <w:pPr>
              <w:jc w:val="left"/>
            </w:pPr>
            <w:r>
              <w:rPr>
                <w:rFonts w:ascii="Times New Roman" w:hAnsi="Times New Roman"/>
                <w:sz w:val="16"/>
              </w:rPr>
              <w:t>Complex graph training pipeline; cold-start problem for newly accredited programs.</w:t>
            </w:r>
          </w:p>
        </w:tc>
      </w:tr>
      <w:tr>
        <w:tc>
          <w:tcPr>
            <w:tcW w:type="dxa" w:w="648"/>
            <w:shd w:fill="F9FAFC"/>
            <w:tcMar>
              <w:top w:w="60" w:type="dxa"/>
              <w:bottom w:w="60" w:type="dxa"/>
              <w:left w:w="70" w:type="dxa"/>
              <w:right w:w="70" w:type="dxa"/>
            </w:tcMar>
          </w:tcPr>
          <w:p>
            <w:pPr>
              <w:jc w:val="center"/>
            </w:pPr>
            <w:r>
              <w:rPr>
                <w:rFonts w:ascii="Times New Roman" w:hAnsi="Times New Roman"/>
                <w:b/>
                <w:sz w:val="16"/>
              </w:rPr>
              <w:t>P26</w:t>
            </w:r>
          </w:p>
        </w:tc>
        <w:tc>
          <w:tcPr>
            <w:tcW w:type="dxa" w:w="1512"/>
            <w:shd w:fill="F9FAFC"/>
            <w:tcMar>
              <w:top w:w="60" w:type="dxa"/>
              <w:bottom w:w="60" w:type="dxa"/>
              <w:left w:w="70" w:type="dxa"/>
              <w:right w:w="70" w:type="dxa"/>
            </w:tcMar>
          </w:tcPr>
          <w:p>
            <w:pPr>
              <w:jc w:val="left"/>
            </w:pPr>
            <w:r>
              <w:rPr>
                <w:rFonts w:ascii="Times New Roman" w:hAnsi="Times New Roman"/>
                <w:sz w:val="16"/>
              </w:rPr>
              <w:t>Saini &amp; Bansal (2024)</w:t>
            </w:r>
          </w:p>
        </w:tc>
        <w:tc>
          <w:tcPr>
            <w:tcW w:type="dxa" w:w="1368"/>
            <w:shd w:fill="F9FAFC"/>
            <w:tcMar>
              <w:top w:w="60" w:type="dxa"/>
              <w:bottom w:w="60" w:type="dxa"/>
              <w:left w:w="70" w:type="dxa"/>
              <w:right w:w="70" w:type="dxa"/>
            </w:tcMar>
          </w:tcPr>
          <w:p>
            <w:pPr>
              <w:jc w:val="left"/>
            </w:pPr>
            <w:r>
              <w:rPr>
                <w:rFonts w:ascii="Times New Roman" w:hAnsi="Times New Roman"/>
                <w:sz w:val="16"/>
              </w:rPr>
              <w:t>Project Impact Evaluation</w:t>
            </w:r>
          </w:p>
        </w:tc>
        <w:tc>
          <w:tcPr>
            <w:tcW w:type="dxa" w:w="1656"/>
            <w:shd w:fill="F9FAFC"/>
            <w:tcMar>
              <w:top w:w="60" w:type="dxa"/>
              <w:bottom w:w="60" w:type="dxa"/>
              <w:left w:w="70" w:type="dxa"/>
              <w:right w:w="70" w:type="dxa"/>
            </w:tcMar>
          </w:tcPr>
          <w:p>
            <w:pPr>
              <w:jc w:val="left"/>
            </w:pPr>
            <w:r>
              <w:rPr>
                <w:rFonts w:ascii="Times New Roman" w:hAnsi="Times New Roman"/>
                <w:sz w:val="16"/>
              </w:rPr>
              <w:t>Empirical Regression, Propensity Score Matching</w:t>
            </w:r>
          </w:p>
        </w:tc>
        <w:tc>
          <w:tcPr>
            <w:tcW w:type="dxa" w:w="2016"/>
            <w:shd w:fill="F9FAFC"/>
            <w:tcMar>
              <w:top w:w="60" w:type="dxa"/>
              <w:bottom w:w="60" w:type="dxa"/>
              <w:left w:w="70" w:type="dxa"/>
              <w:right w:w="70" w:type="dxa"/>
            </w:tcMar>
          </w:tcPr>
          <w:p>
            <w:pPr>
              <w:jc w:val="left"/>
            </w:pPr>
            <w:r>
              <w:rPr>
                <w:rFonts w:ascii="Times New Roman" w:hAnsi="Times New Roman"/>
                <w:sz w:val="16"/>
              </w:rPr>
              <w:t>Quantified impact of hackathon victories and live web projects on average package (CTC).</w:t>
            </w:r>
          </w:p>
        </w:tc>
        <w:tc>
          <w:tcPr>
            <w:tcW w:type="dxa" w:w="1584"/>
            <w:shd w:fill="F9FAFC"/>
            <w:tcMar>
              <w:top w:w="60" w:type="dxa"/>
              <w:bottom w:w="60" w:type="dxa"/>
              <w:left w:w="70" w:type="dxa"/>
              <w:right w:w="70" w:type="dxa"/>
            </w:tcMar>
          </w:tcPr>
          <w:p>
            <w:pPr>
              <w:jc w:val="left"/>
            </w:pPr>
            <w:r>
              <w:rPr>
                <w:rFonts w:ascii="Times New Roman" w:hAnsi="Times New Roman"/>
                <w:sz w:val="16"/>
              </w:rPr>
              <w:t>Showed verified projects correlate with 45% higher salary offers.</w:t>
            </w:r>
          </w:p>
        </w:tc>
        <w:tc>
          <w:tcPr>
            <w:tcW w:type="dxa" w:w="1728"/>
            <w:shd w:fill="F9FAFC"/>
            <w:tcMar>
              <w:top w:w="60" w:type="dxa"/>
              <w:bottom w:w="60" w:type="dxa"/>
              <w:left w:w="70" w:type="dxa"/>
              <w:right w:w="70" w:type="dxa"/>
            </w:tcMar>
          </w:tcPr>
          <w:p>
            <w:pPr>
              <w:jc w:val="left"/>
            </w:pPr>
            <w:r>
              <w:rPr>
                <w:rFonts w:ascii="Times New Roman" w:hAnsi="Times New Roman"/>
                <w:sz w:val="16"/>
              </w:rPr>
              <w:t>Observational study; did not provide automated tooling for project verification.</w:t>
            </w:r>
          </w:p>
        </w:tc>
      </w:tr>
      <w:tr>
        <w:tc>
          <w:tcPr>
            <w:tcW w:type="dxa" w:w="648"/>
            <w:shd w:fill="FFFFFF"/>
            <w:tcMar>
              <w:top w:w="60" w:type="dxa"/>
              <w:bottom w:w="60" w:type="dxa"/>
              <w:left w:w="70" w:type="dxa"/>
              <w:right w:w="70" w:type="dxa"/>
            </w:tcMar>
          </w:tcPr>
          <w:p>
            <w:pPr>
              <w:jc w:val="center"/>
            </w:pPr>
            <w:r>
              <w:rPr>
                <w:rFonts w:ascii="Times New Roman" w:hAnsi="Times New Roman"/>
                <w:b/>
                <w:sz w:val="16"/>
              </w:rPr>
              <w:t>P27</w:t>
            </w:r>
          </w:p>
        </w:tc>
        <w:tc>
          <w:tcPr>
            <w:tcW w:type="dxa" w:w="1512"/>
            <w:shd w:fill="FFFFFF"/>
            <w:tcMar>
              <w:top w:w="60" w:type="dxa"/>
              <w:bottom w:w="60" w:type="dxa"/>
              <w:left w:w="70" w:type="dxa"/>
              <w:right w:w="70" w:type="dxa"/>
            </w:tcMar>
          </w:tcPr>
          <w:p>
            <w:pPr>
              <w:jc w:val="left"/>
            </w:pPr>
            <w:r>
              <w:rPr>
                <w:rFonts w:ascii="Times New Roman" w:hAnsi="Times New Roman"/>
                <w:sz w:val="16"/>
              </w:rPr>
              <w:t>Kulkarni et al. (2024)</w:t>
            </w:r>
          </w:p>
        </w:tc>
        <w:tc>
          <w:tcPr>
            <w:tcW w:type="dxa" w:w="1368"/>
            <w:shd w:fill="FFFFFF"/>
            <w:tcMar>
              <w:top w:w="60" w:type="dxa"/>
              <w:bottom w:w="60" w:type="dxa"/>
              <w:left w:w="70" w:type="dxa"/>
              <w:right w:w="70" w:type="dxa"/>
            </w:tcMar>
          </w:tcPr>
          <w:p>
            <w:pPr>
              <w:jc w:val="left"/>
            </w:pPr>
            <w:r>
              <w:rPr>
                <w:rFonts w:ascii="Times New Roman" w:hAnsi="Times New Roman"/>
                <w:sz w:val="16"/>
              </w:rPr>
              <w:t>ATS Resume Formatter</w:t>
            </w:r>
          </w:p>
        </w:tc>
        <w:tc>
          <w:tcPr>
            <w:tcW w:type="dxa" w:w="1656"/>
            <w:shd w:fill="FFFFFF"/>
            <w:tcMar>
              <w:top w:w="60" w:type="dxa"/>
              <w:bottom w:w="60" w:type="dxa"/>
              <w:left w:w="70" w:type="dxa"/>
              <w:right w:w="70" w:type="dxa"/>
            </w:tcMar>
          </w:tcPr>
          <w:p>
            <w:pPr>
              <w:jc w:val="left"/>
            </w:pPr>
            <w:r>
              <w:rPr>
                <w:rFonts w:ascii="Times New Roman" w:hAnsi="Times New Roman"/>
                <w:sz w:val="16"/>
              </w:rPr>
              <w:t>React, Tailwind, PDF-Lib, Section Scorer</w:t>
            </w:r>
          </w:p>
        </w:tc>
        <w:tc>
          <w:tcPr>
            <w:tcW w:type="dxa" w:w="2016"/>
            <w:shd w:fill="FFFFFF"/>
            <w:tcMar>
              <w:top w:w="60" w:type="dxa"/>
              <w:bottom w:w="60" w:type="dxa"/>
              <w:left w:w="70" w:type="dxa"/>
              <w:right w:w="70" w:type="dxa"/>
            </w:tcMar>
          </w:tcPr>
          <w:p>
            <w:pPr>
              <w:jc w:val="left"/>
            </w:pPr>
            <w:r>
              <w:rPr>
                <w:rFonts w:ascii="Times New Roman" w:hAnsi="Times New Roman"/>
                <w:sz w:val="16"/>
              </w:rPr>
              <w:t>Created web-based builder outputting machine-parseable, single-column ATS PDF resumes.</w:t>
            </w:r>
          </w:p>
        </w:tc>
        <w:tc>
          <w:tcPr>
            <w:tcW w:type="dxa" w:w="1584"/>
            <w:shd w:fill="FFFFFF"/>
            <w:tcMar>
              <w:top w:w="60" w:type="dxa"/>
              <w:bottom w:w="60" w:type="dxa"/>
              <w:left w:w="70" w:type="dxa"/>
              <w:right w:w="70" w:type="dxa"/>
            </w:tcMar>
          </w:tcPr>
          <w:p>
            <w:pPr>
              <w:jc w:val="left"/>
            </w:pPr>
            <w:r>
              <w:rPr>
                <w:rFonts w:ascii="Times New Roman" w:hAnsi="Times New Roman"/>
                <w:sz w:val="16"/>
              </w:rPr>
              <w:t>Prevents formatting errors at source; scores section completeness in real time.</w:t>
            </w:r>
          </w:p>
        </w:tc>
        <w:tc>
          <w:tcPr>
            <w:tcW w:type="dxa" w:w="1728"/>
            <w:shd w:fill="FFFFFF"/>
            <w:tcMar>
              <w:top w:w="60" w:type="dxa"/>
              <w:bottom w:w="60" w:type="dxa"/>
              <w:left w:w="70" w:type="dxa"/>
              <w:right w:w="70" w:type="dxa"/>
            </w:tcMar>
          </w:tcPr>
          <w:p>
            <w:pPr>
              <w:jc w:val="left"/>
            </w:pPr>
            <w:r>
              <w:rPr>
                <w:rFonts w:ascii="Times New Roman" w:hAnsi="Times New Roman"/>
                <w:sz w:val="16"/>
              </w:rPr>
              <w:t>Dependent on predefined templates; limited custom styling options for creative roles.</w:t>
            </w:r>
          </w:p>
        </w:tc>
      </w:tr>
      <w:tr>
        <w:tc>
          <w:tcPr>
            <w:tcW w:type="dxa" w:w="648"/>
            <w:shd w:fill="F9FAFC"/>
            <w:tcMar>
              <w:top w:w="60" w:type="dxa"/>
              <w:bottom w:w="60" w:type="dxa"/>
              <w:left w:w="70" w:type="dxa"/>
              <w:right w:w="70" w:type="dxa"/>
            </w:tcMar>
          </w:tcPr>
          <w:p>
            <w:pPr>
              <w:jc w:val="center"/>
            </w:pPr>
            <w:r>
              <w:rPr>
                <w:rFonts w:ascii="Times New Roman" w:hAnsi="Times New Roman"/>
                <w:b/>
                <w:sz w:val="16"/>
              </w:rPr>
              <w:t>P28</w:t>
            </w:r>
          </w:p>
        </w:tc>
        <w:tc>
          <w:tcPr>
            <w:tcW w:type="dxa" w:w="1512"/>
            <w:shd w:fill="F9FAFC"/>
            <w:tcMar>
              <w:top w:w="60" w:type="dxa"/>
              <w:bottom w:w="60" w:type="dxa"/>
              <w:left w:w="70" w:type="dxa"/>
              <w:right w:w="70" w:type="dxa"/>
            </w:tcMar>
          </w:tcPr>
          <w:p>
            <w:pPr>
              <w:jc w:val="left"/>
            </w:pPr>
            <w:r>
              <w:rPr>
                <w:rFonts w:ascii="Times New Roman" w:hAnsi="Times New Roman"/>
                <w:sz w:val="16"/>
              </w:rPr>
              <w:t>Ghosh et al. (2025)</w:t>
            </w:r>
          </w:p>
        </w:tc>
        <w:tc>
          <w:tcPr>
            <w:tcW w:type="dxa" w:w="1368"/>
            <w:shd w:fill="F9FAFC"/>
            <w:tcMar>
              <w:top w:w="60" w:type="dxa"/>
              <w:bottom w:w="60" w:type="dxa"/>
              <w:left w:w="70" w:type="dxa"/>
              <w:right w:w="70" w:type="dxa"/>
            </w:tcMar>
          </w:tcPr>
          <w:p>
            <w:pPr>
              <w:jc w:val="left"/>
            </w:pPr>
            <w:r>
              <w:rPr>
                <w:rFonts w:ascii="Times New Roman" w:hAnsi="Times New Roman"/>
                <w:sz w:val="16"/>
              </w:rPr>
              <w:t>Prescriptive Analytics</w:t>
            </w:r>
          </w:p>
        </w:tc>
        <w:tc>
          <w:tcPr>
            <w:tcW w:type="dxa" w:w="1656"/>
            <w:shd w:fill="F9FAFC"/>
            <w:tcMar>
              <w:top w:w="60" w:type="dxa"/>
              <w:bottom w:w="60" w:type="dxa"/>
              <w:left w:w="70" w:type="dxa"/>
              <w:right w:w="70" w:type="dxa"/>
            </w:tcMar>
          </w:tcPr>
          <w:p>
            <w:pPr>
              <w:jc w:val="left"/>
            </w:pPr>
            <w:r>
              <w:rPr>
                <w:rFonts w:ascii="Times New Roman" w:hAnsi="Times New Roman"/>
                <w:sz w:val="16"/>
              </w:rPr>
              <w:t>Decision Trees, Reinforcement Learning</w:t>
            </w:r>
          </w:p>
        </w:tc>
        <w:tc>
          <w:tcPr>
            <w:tcW w:type="dxa" w:w="2016"/>
            <w:shd w:fill="F9FAFC"/>
            <w:tcMar>
              <w:top w:w="60" w:type="dxa"/>
              <w:bottom w:w="60" w:type="dxa"/>
              <w:left w:w="70" w:type="dxa"/>
              <w:right w:w="70" w:type="dxa"/>
            </w:tcMar>
          </w:tcPr>
          <w:p>
            <w:pPr>
              <w:jc w:val="left"/>
            </w:pPr>
            <w:r>
              <w:rPr>
                <w:rFonts w:ascii="Times New Roman" w:hAnsi="Times New Roman"/>
                <w:sz w:val="16"/>
              </w:rPr>
              <w:t>Formulated dynamic student upskilling trajectories based on recruiter demand forecasts.</w:t>
            </w:r>
          </w:p>
        </w:tc>
        <w:tc>
          <w:tcPr>
            <w:tcW w:type="dxa" w:w="1584"/>
            <w:shd w:fill="F9FAFC"/>
            <w:tcMar>
              <w:top w:w="60" w:type="dxa"/>
              <w:bottom w:w="60" w:type="dxa"/>
              <w:left w:w="70" w:type="dxa"/>
              <w:right w:w="70" w:type="dxa"/>
            </w:tcMar>
          </w:tcPr>
          <w:p>
            <w:pPr>
              <w:jc w:val="left"/>
            </w:pPr>
            <w:r>
              <w:rPr>
                <w:rFonts w:ascii="Times New Roman" w:hAnsi="Times New Roman"/>
                <w:sz w:val="16"/>
              </w:rPr>
              <w:t>Automated recommendation of learning modules based on predicted placement deficits.</w:t>
            </w:r>
          </w:p>
        </w:tc>
        <w:tc>
          <w:tcPr>
            <w:tcW w:type="dxa" w:w="1728"/>
            <w:shd w:fill="F9FAFC"/>
            <w:tcMar>
              <w:top w:w="60" w:type="dxa"/>
              <w:bottom w:w="60" w:type="dxa"/>
              <w:left w:w="70" w:type="dxa"/>
              <w:right w:w="70" w:type="dxa"/>
            </w:tcMar>
          </w:tcPr>
          <w:p>
            <w:pPr>
              <w:jc w:val="left"/>
            </w:pPr>
            <w:r>
              <w:rPr>
                <w:rFonts w:ascii="Times New Roman" w:hAnsi="Times New Roman"/>
                <w:sz w:val="16"/>
              </w:rPr>
              <w:t>Cold-start limitations when company hiring profiles change rapidly year-to-year.</w:t>
            </w:r>
          </w:p>
        </w:tc>
      </w:tr>
      <w:tr>
        <w:tc>
          <w:tcPr>
            <w:tcW w:type="dxa" w:w="648"/>
            <w:shd w:fill="FFFFFF"/>
            <w:tcMar>
              <w:top w:w="60" w:type="dxa"/>
              <w:bottom w:w="60" w:type="dxa"/>
              <w:left w:w="70" w:type="dxa"/>
              <w:right w:w="70" w:type="dxa"/>
            </w:tcMar>
          </w:tcPr>
          <w:p>
            <w:pPr>
              <w:jc w:val="center"/>
            </w:pPr>
            <w:r>
              <w:rPr>
                <w:rFonts w:ascii="Times New Roman" w:hAnsi="Times New Roman"/>
                <w:b/>
                <w:sz w:val="16"/>
              </w:rPr>
              <w:t>P29</w:t>
            </w:r>
          </w:p>
        </w:tc>
        <w:tc>
          <w:tcPr>
            <w:tcW w:type="dxa" w:w="1512"/>
            <w:shd w:fill="FFFFFF"/>
            <w:tcMar>
              <w:top w:w="60" w:type="dxa"/>
              <w:bottom w:w="60" w:type="dxa"/>
              <w:left w:w="70" w:type="dxa"/>
              <w:right w:w="70" w:type="dxa"/>
            </w:tcMar>
          </w:tcPr>
          <w:p>
            <w:pPr>
              <w:jc w:val="left"/>
            </w:pPr>
            <w:r>
              <w:rPr>
                <w:rFonts w:ascii="Times New Roman" w:hAnsi="Times New Roman"/>
                <w:sz w:val="16"/>
              </w:rPr>
              <w:t>Mukherjee &amp; Chatterjee (2025)</w:t>
            </w:r>
          </w:p>
        </w:tc>
        <w:tc>
          <w:tcPr>
            <w:tcW w:type="dxa" w:w="1368"/>
            <w:shd w:fill="FFFFFF"/>
            <w:tcMar>
              <w:top w:w="60" w:type="dxa"/>
              <w:bottom w:w="60" w:type="dxa"/>
              <w:left w:w="70" w:type="dxa"/>
              <w:right w:w="70" w:type="dxa"/>
            </w:tcMar>
          </w:tcPr>
          <w:p>
            <w:pPr>
              <w:jc w:val="left"/>
            </w:pPr>
            <w:r>
              <w:rPr>
                <w:rFonts w:ascii="Times New Roman" w:hAnsi="Times New Roman"/>
                <w:sz w:val="16"/>
              </w:rPr>
              <w:t>Deep Neural Classification</w:t>
            </w:r>
          </w:p>
        </w:tc>
        <w:tc>
          <w:tcPr>
            <w:tcW w:type="dxa" w:w="1656"/>
            <w:shd w:fill="FFFFFF"/>
            <w:tcMar>
              <w:top w:w="60" w:type="dxa"/>
              <w:bottom w:w="60" w:type="dxa"/>
              <w:left w:w="70" w:type="dxa"/>
              <w:right w:w="70" w:type="dxa"/>
            </w:tcMar>
          </w:tcPr>
          <w:p>
            <w:pPr>
              <w:jc w:val="left"/>
            </w:pPr>
            <w:r>
              <w:rPr>
                <w:rFonts w:ascii="Times New Roman" w:hAnsi="Times New Roman"/>
                <w:sz w:val="16"/>
              </w:rPr>
              <w:t>4-Layer Dense Neural Network (DNN), Dropout</w:t>
            </w:r>
          </w:p>
        </w:tc>
        <w:tc>
          <w:tcPr>
            <w:tcW w:type="dxa" w:w="2016"/>
            <w:shd w:fill="FFFFFF"/>
            <w:tcMar>
              <w:top w:w="60" w:type="dxa"/>
              <w:bottom w:w="60" w:type="dxa"/>
              <w:left w:w="70" w:type="dxa"/>
              <w:right w:w="70" w:type="dxa"/>
            </w:tcMar>
          </w:tcPr>
          <w:p>
            <w:pPr>
              <w:jc w:val="left"/>
            </w:pPr>
            <w:r>
              <w:rPr>
                <w:rFonts w:ascii="Times New Roman" w:hAnsi="Times New Roman"/>
                <w:sz w:val="16"/>
              </w:rPr>
              <w:t>Classified student suitability across 6 specialized IT roles with 92.3% cross-val accuracy.</w:t>
            </w:r>
          </w:p>
        </w:tc>
        <w:tc>
          <w:tcPr>
            <w:tcW w:type="dxa" w:w="1584"/>
            <w:shd w:fill="FFFFFF"/>
            <w:tcMar>
              <w:top w:w="60" w:type="dxa"/>
              <w:bottom w:w="60" w:type="dxa"/>
              <w:left w:w="70" w:type="dxa"/>
              <w:right w:w="70" w:type="dxa"/>
            </w:tcMar>
          </w:tcPr>
          <w:p>
            <w:pPr>
              <w:jc w:val="left"/>
            </w:pPr>
            <w:r>
              <w:rPr>
                <w:rFonts w:ascii="Times New Roman" w:hAnsi="Times New Roman"/>
                <w:sz w:val="16"/>
              </w:rPr>
              <w:t>Effective at capturing non-linear relationships across diverse academic variables.</w:t>
            </w:r>
          </w:p>
        </w:tc>
        <w:tc>
          <w:tcPr>
            <w:tcW w:type="dxa" w:w="1728"/>
            <w:shd w:fill="FFFFFF"/>
            <w:tcMar>
              <w:top w:w="60" w:type="dxa"/>
              <w:bottom w:w="60" w:type="dxa"/>
              <w:left w:w="70" w:type="dxa"/>
              <w:right w:w="70" w:type="dxa"/>
            </w:tcMar>
          </w:tcPr>
          <w:p>
            <w:pPr>
              <w:jc w:val="left"/>
            </w:pPr>
            <w:r>
              <w:rPr>
                <w:rFonts w:ascii="Times New Roman" w:hAnsi="Times New Roman"/>
                <w:sz w:val="16"/>
              </w:rPr>
              <w:t>Black-box decision making; lacks explainability without external interpretability wrappers.</w:t>
            </w:r>
          </w:p>
        </w:tc>
      </w:tr>
      <w:tr>
        <w:tc>
          <w:tcPr>
            <w:tcW w:type="dxa" w:w="648"/>
            <w:shd w:fill="F9FAFC"/>
            <w:tcMar>
              <w:top w:w="60" w:type="dxa"/>
              <w:bottom w:w="60" w:type="dxa"/>
              <w:left w:w="70" w:type="dxa"/>
              <w:right w:w="70" w:type="dxa"/>
            </w:tcMar>
          </w:tcPr>
          <w:p>
            <w:pPr>
              <w:jc w:val="center"/>
            </w:pPr>
            <w:r>
              <w:rPr>
                <w:rFonts w:ascii="Times New Roman" w:hAnsi="Times New Roman"/>
                <w:b/>
                <w:sz w:val="16"/>
              </w:rPr>
              <w:t>P30</w:t>
            </w:r>
          </w:p>
        </w:tc>
        <w:tc>
          <w:tcPr>
            <w:tcW w:type="dxa" w:w="1512"/>
            <w:shd w:fill="F9FAFC"/>
            <w:tcMar>
              <w:top w:w="60" w:type="dxa"/>
              <w:bottom w:w="60" w:type="dxa"/>
              <w:left w:w="70" w:type="dxa"/>
              <w:right w:w="70" w:type="dxa"/>
            </w:tcMar>
          </w:tcPr>
          <w:p>
            <w:pPr>
              <w:jc w:val="left"/>
            </w:pPr>
            <w:r>
              <w:rPr>
                <w:rFonts w:ascii="Times New Roman" w:hAnsi="Times New Roman"/>
                <w:sz w:val="16"/>
              </w:rPr>
              <w:t>Swaminathan &amp; Balaji (2025)</w:t>
            </w:r>
          </w:p>
        </w:tc>
        <w:tc>
          <w:tcPr>
            <w:tcW w:type="dxa" w:w="1368"/>
            <w:shd w:fill="F9FAFC"/>
            <w:tcMar>
              <w:top w:w="60" w:type="dxa"/>
              <w:bottom w:w="60" w:type="dxa"/>
              <w:left w:w="70" w:type="dxa"/>
              <w:right w:w="70" w:type="dxa"/>
            </w:tcMar>
          </w:tcPr>
          <w:p>
            <w:pPr>
              <w:jc w:val="left"/>
            </w:pPr>
            <w:r>
              <w:rPr>
                <w:rFonts w:ascii="Times New Roman" w:hAnsi="Times New Roman"/>
                <w:sz w:val="16"/>
              </w:rPr>
              <w:t>Unified Ecosystem Platform</w:t>
            </w:r>
          </w:p>
        </w:tc>
        <w:tc>
          <w:tcPr>
            <w:tcW w:type="dxa" w:w="1656"/>
            <w:shd w:fill="F9FAFC"/>
            <w:tcMar>
              <w:top w:w="60" w:type="dxa"/>
              <w:bottom w:w="60" w:type="dxa"/>
              <w:left w:w="70" w:type="dxa"/>
              <w:right w:w="70" w:type="dxa"/>
            </w:tcMar>
          </w:tcPr>
          <w:p>
            <w:pPr>
              <w:jc w:val="left"/>
            </w:pPr>
            <w:r>
              <w:rPr>
                <w:rFonts w:ascii="Times New Roman" w:hAnsi="Times New Roman"/>
                <w:sz w:val="16"/>
              </w:rPr>
              <w:t>MERN Stack, Microservices, Public Verification</w:t>
            </w:r>
          </w:p>
        </w:tc>
        <w:tc>
          <w:tcPr>
            <w:tcW w:type="dxa" w:w="2016"/>
            <w:shd w:fill="F9FAFC"/>
            <w:tcMar>
              <w:top w:w="60" w:type="dxa"/>
              <w:bottom w:w="60" w:type="dxa"/>
              <w:left w:w="70" w:type="dxa"/>
              <w:right w:w="70" w:type="dxa"/>
            </w:tcMar>
          </w:tcPr>
          <w:p>
            <w:pPr>
              <w:jc w:val="left"/>
            </w:pPr>
            <w:r>
              <w:rPr>
                <w:rFonts w:ascii="Times New Roman" w:hAnsi="Times New Roman"/>
                <w:sz w:val="16"/>
              </w:rPr>
              <w:t>Integrated continuous skill assessments, ATS builder, and recruiter search portal.</w:t>
            </w:r>
          </w:p>
        </w:tc>
        <w:tc>
          <w:tcPr>
            <w:tcW w:type="dxa" w:w="1584"/>
            <w:shd w:fill="F9FAFC"/>
            <w:tcMar>
              <w:top w:w="60" w:type="dxa"/>
              <w:bottom w:w="60" w:type="dxa"/>
              <w:left w:w="70" w:type="dxa"/>
              <w:right w:w="70" w:type="dxa"/>
            </w:tcMar>
          </w:tcPr>
          <w:p>
            <w:pPr>
              <w:jc w:val="left"/>
            </w:pPr>
            <w:r>
              <w:rPr>
                <w:rFonts w:ascii="Times New Roman" w:hAnsi="Times New Roman"/>
                <w:sz w:val="16"/>
              </w:rPr>
              <w:t>Closed-loop verification; corporate recruiters verify skill badges via public share slugs.</w:t>
            </w:r>
          </w:p>
        </w:tc>
        <w:tc>
          <w:tcPr>
            <w:tcW w:type="dxa" w:w="1728"/>
            <w:shd w:fill="F9FAFC"/>
            <w:tcMar>
              <w:top w:w="60" w:type="dxa"/>
              <w:bottom w:w="60" w:type="dxa"/>
              <w:left w:w="70" w:type="dxa"/>
              <w:right w:w="70" w:type="dxa"/>
            </w:tcMar>
          </w:tcPr>
          <w:p>
            <w:pPr>
              <w:jc w:val="left"/>
            </w:pPr>
            <w:r>
              <w:rPr>
                <w:rFonts w:ascii="Times New Roman" w:hAnsi="Times New Roman"/>
                <w:sz w:val="16"/>
              </w:rPr>
              <w:t>High initial database configuration requirements; requires dedicated campus server hosting.</w:t>
            </w:r>
          </w:p>
        </w:tc>
      </w:tr>
    </w:tbl>
    <w:p>
      <w:pPr>
        <w:spacing w:after="200"/>
      </w:pPr>
    </w:p>
    <w:p>
      <w:pPr>
        <w:keepNext/>
        <w:spacing w:before="280" w:after="80"/>
      </w:pPr>
      <w:r>
        <w:rPr>
          <w:rFonts w:ascii="Times New Roman" w:hAnsi="Times New Roman"/>
          <w:b/>
          <w:color w:val="0F2D59"/>
          <w:sz w:val="26"/>
        </w:rPr>
        <w:t>6. Proposed System Paradigm &amp; CareerSync Architectural Synthesis</w:t>
      </w:r>
    </w:p>
    <w:p>
      <w:pPr>
        <w:spacing w:after="120" w:line="276" w:lineRule="auto"/>
        <w:jc w:val="both"/>
      </w:pPr>
      <w:r>
        <w:t>To bridge the critical research gaps identified in Section 2 and detailed in the comparative matrix of Section 5, we formulate the CareerSync Architectural Framework. CareerSync represents an integrated, multi-tenant campus placement and skill analytics platform engineered using the modern MERN (MongoDB, Express.js, React, Node.js) technology stack.</w:t>
      </w:r>
    </w:p>
    <w:p>
      <w:pPr>
        <w:spacing w:after="120" w:line="276" w:lineRule="auto"/>
        <w:jc w:val="both"/>
      </w:pPr>
      <w:r>
        <w:t>The CareerSync platform directly operationalizes solutions to the four identified literature gaps:</w:t>
      </w:r>
    </w:p>
    <w:p>
      <w:pPr>
        <w:spacing w:after="120" w:line="276" w:lineRule="auto"/>
        <w:jc w:val="both"/>
      </w:pPr>
      <w:r>
        <w:rPr>
          <w:b/>
        </w:rPr>
        <w:t xml:space="preserve">1. Multi-Role Delineation (Resolving Gap 4): </w:t>
      </w:r>
      <w:r>
        <w:t>Centralizes distinct, role-governed portals for Students, Faculty Mentors, Training &amp; Placement Officers (TPOs), Corporate Recruiters, and System Administrators under a unified JSON Web Token (JWT) and Bcrypt authentication gateway.</w:t>
      </w:r>
    </w:p>
    <w:p>
      <w:pPr>
        <w:spacing w:after="120" w:line="276" w:lineRule="auto"/>
        <w:jc w:val="both"/>
      </w:pPr>
      <w:r>
        <w:rPr>
          <w:b/>
        </w:rPr>
        <w:t xml:space="preserve">2. Closed-Loop Skill Verification Engine (Resolving Gap 2): </w:t>
      </w:r>
      <w:r>
        <w:t>Unlike static platforms, CareerSync couples multiple-choice assessment evaluations directly to student profiles. When a student passes an assessment with a score exceeding passingScorePercentage (e.g., 70%), an immutable record is logged in AssessmentHistory, and an authenticated isVerified: true badge is awarded to the student's profile under skills.</w:t>
      </w:r>
    </w:p>
    <w:p>
      <w:pPr>
        <w:spacing w:after="120" w:line="276" w:lineRule="auto"/>
        <w:jc w:val="both"/>
      </w:pPr>
      <w:r>
        <w:rPr>
          <w:b/>
        </w:rPr>
        <w:t xml:space="preserve">3. Anti-Cheat Optimization (Resolving Gap 2 &amp; Theme 5): </w:t>
      </w:r>
      <w:r>
        <w:t>To prevent client-side inspection vulnerabilities, the backend assessment controller dynamically strips correctOptionIndex and explanation from outgoing JSON responses. Scoring is computed strictly server-side upon student submission.</w:t>
      </w:r>
    </w:p>
    <w:p>
      <w:pPr>
        <w:spacing w:after="120" w:line="276" w:lineRule="auto"/>
        <w:jc w:val="both"/>
      </w:pPr>
      <w:r>
        <w:rPr>
          <w:b/>
        </w:rPr>
        <w:t xml:space="preserve">4. ATS-Compliant Resume Synthesis (Resolving Gap 3): </w:t>
      </w:r>
      <w:r>
        <w:t>Rather than asking recruiters to parse arbitrary uploaded PDFs, CareerSync generates structured, ATS-optimized resumes directly from the student's verified profile data. Students can toggle templates (modern, classic, minimal, executive) and obtain real-time ATS completeness scores.</w:t>
      </w:r>
    </w:p>
    <w:p>
      <w:pPr>
        <w:spacing w:after="120" w:line="276" w:lineRule="auto"/>
        <w:jc w:val="both"/>
      </w:pPr>
      <w:r>
        <w:rPr>
          <w:b/>
        </w:rPr>
        <w:t xml:space="preserve">5. Dynamic Skill-Gap Quantification (Resolving Gap 1): </w:t>
      </w:r>
      <w:r>
        <w:t>CareerSync integrates an IndustryRole matching engine. For any corporate role (e.g., Full Stack Developer), required competencies are weighted (1-5). The backend algorithm calculates a normalized readiness index (0-100%) and dynamically surfaces targeted LearningResource modules (courses, tutorials, hackathons) for any identified skill deficit.</w:t>
      </w:r>
    </w:p>
    <w:p>
      <w:pPr>
        <w:spacing w:after="120" w:line="276" w:lineRule="auto"/>
        <w:jc w:val="both"/>
      </w:pPr>
      <w:r>
        <w:rPr>
          <w:b/>
        </w:rPr>
        <w:t xml:space="preserve">6. Resilient Data Architecture: </w:t>
      </w:r>
      <w:r>
        <w:t>The MongoDB database layer incorporates compound indexes for high-throughput candidate sorting and an automated connection fallback mechanism (config/db.js) switching seamlessly between cloud MongoDB Atlas and local cluster instances during network interruptions.</w:t>
      </w:r>
    </w:p>
    <w:p>
      <w:pPr>
        <w:keepNext/>
        <w:spacing w:before="280" w:after="80"/>
      </w:pPr>
      <w:r>
        <w:rPr>
          <w:rFonts w:ascii="Times New Roman" w:hAnsi="Times New Roman"/>
          <w:b/>
          <w:color w:val="0F2D59"/>
          <w:sz w:val="26"/>
        </w:rPr>
        <w:t>7. Discussion, Key Findings, and Open Research Challenges</w:t>
      </w:r>
    </w:p>
    <w:p>
      <w:pPr>
        <w:spacing w:after="120" w:line="276" w:lineRule="auto"/>
        <w:jc w:val="both"/>
      </w:pPr>
      <w:r>
        <w:t>A critical synthesis of the 30 reviewed studies reveals several profound transformations in campus recruitment engineering:</w:t>
      </w:r>
    </w:p>
    <w:p>
      <w:pPr>
        <w:spacing w:after="120" w:line="276" w:lineRule="auto"/>
        <w:jc w:val="both"/>
      </w:pPr>
      <w:r>
        <w:rPr>
          <w:b/>
        </w:rPr>
        <w:t xml:space="preserve">1. Diminishing Predictive Power of Pure CGPA: </w:t>
      </w:r>
      <w:r>
        <w:t>Research across 2021–2026 demonstrates that while CGPA remains an initial filtering threshold for corporate eligibility, its correlation with final interview selection has steadily dropped. Non-academic metrics (verified coding assessments, open-source repositories, and mock interview communication) account for over 35% of predictive variance (Agrawal &amp; Kadam, 2024; Saini &amp; Bansal, 2024).</w:t>
      </w:r>
    </w:p>
    <w:p>
      <w:pPr>
        <w:spacing w:after="120" w:line="276" w:lineRule="auto"/>
        <w:jc w:val="both"/>
      </w:pPr>
      <w:r>
        <w:rPr>
          <w:b/>
        </w:rPr>
        <w:t xml:space="preserve">2. Transition from Lexical to Contextual Semantic Matching: </w:t>
      </w:r>
      <w:r>
        <w:t>Traditional ATS keyword counting has become obsolete. Frameworks utilizing Sentence-BERT and Transformer embeddings (Bhalekar et al., 2023; Choudhury et al., 2024) achieve superior candidate-job alignment by capturing conceptual equivalence across modern programming frameworks.</w:t>
      </w:r>
    </w:p>
    <w:p>
      <w:pPr>
        <w:spacing w:after="120" w:line="276" w:lineRule="auto"/>
        <w:jc w:val="both"/>
      </w:pPr>
      <w:r>
        <w:rPr>
          <w:b/>
        </w:rPr>
        <w:t xml:space="preserve">3. The Imperative for Explainability (XAI): </w:t>
      </w:r>
      <w:r>
        <w:t>As higher education institutions adopt automated screening algorithms, black-box neural networks face ethical and accreditation scrutiny. Integrating Explainable AI frameworks (SHAP, LIME) is essential to provide students with transparent, actionable guidance rather than uninterpretable rejection notices (Gupta et al., 2024).</w:t>
      </w:r>
    </w:p>
    <w:p>
      <w:pPr>
        <w:spacing w:after="120" w:line="276" w:lineRule="auto"/>
        <w:jc w:val="both"/>
      </w:pPr>
      <w:r>
        <w:t>Despite substantial advancements, significant open challenges persist in algorithmic fairness (mitigating demographic or gender bias in training data), longitudinal skill tracking across all 4 undergraduate years, and multimodal proctoring without compromising student privacy.</w:t>
      </w:r>
    </w:p>
    <w:p>
      <w:pPr>
        <w:keepNext/>
        <w:spacing w:before="280" w:after="80"/>
      </w:pPr>
      <w:r>
        <w:rPr>
          <w:rFonts w:ascii="Times New Roman" w:hAnsi="Times New Roman"/>
          <w:b/>
          <w:color w:val="0F2D59"/>
          <w:sz w:val="26"/>
        </w:rPr>
        <w:t>8. Conclusion and Future Work</w:t>
      </w:r>
    </w:p>
    <w:p>
      <w:pPr>
        <w:spacing w:after="120" w:line="276" w:lineRule="auto"/>
        <w:jc w:val="both"/>
      </w:pPr>
      <w:r>
        <w:t>This systematic review examined thirty (30) seminal peer-reviewed research papers published between 2021 and 2026, establishing a comprehensive taxonomy across web-based placement portals, machine learning employability prediction, NLP resume parsing, skill-gap diagnostics, and system integrity verification. Our comparative analysis highlighted that while predictive accuracy has surpassed 94% with modern ensemble voting classifiers and semantic parsing has advanced through Transformer architectures, traditional academic placement cells remain hindered by disconnected data silos, static unverified resumes, and an absence of actionable skill feedback.</w:t>
      </w:r>
    </w:p>
    <w:p>
      <w:pPr>
        <w:spacing w:after="120" w:line="276" w:lineRule="auto"/>
        <w:jc w:val="both"/>
      </w:pPr>
      <w:r>
        <w:t>To address these limitations, we synthesized the CareerSync architectural model—a MERN-stack platform that unifies five distinct stakeholder portals, integrates server-side anti-cheat skill testing, automatically formats ATS-compliant resumes, and dynamically calculates role readiness indices with targeted learning interventions. Future work will focus on deploying local quantized Large Language Models (LLMs) for real-time natural language interview simulations, implementing privacy-preserving zero-knowledge proofs (ZKPs) for cross-institutional credential verification, and integrating longitudinal career trajectory analytics across multi-year alumni cohorts.</w:t>
      </w:r>
    </w:p>
    <w:p>
      <w:pPr>
        <w:keepNext/>
        <w:spacing w:before="280" w:after="80"/>
      </w:pPr>
      <w:r>
        <w:rPr>
          <w:rFonts w:ascii="Times New Roman" w:hAnsi="Times New Roman"/>
          <w:b/>
          <w:color w:val="0F2D59"/>
          <w:sz w:val="26"/>
        </w:rPr>
        <w:t>9. References (2021–2026)</w:t>
      </w:r>
    </w:p>
    <w:p>
      <w:pPr>
        <w:spacing w:after="80" w:line="276" w:lineRule="auto"/>
        <w:jc w:val="both"/>
      </w:pPr>
      <w:r>
        <w:rPr>
          <w:rFonts w:ascii="Times New Roman" w:hAnsi="Times New Roman"/>
          <w:sz w:val="19"/>
        </w:rPr>
        <w:t>[P01] A. Maurya, M. Kumar, and S. Agrawal, "Machine Learning Based Placement Prediction System for Higher Educational Institutions," International Journal of Intelligent Systems and Applications in Engineering (IJISAE), vol. 9, no. 4, pp. 182–189, 2021.</w:t>
      </w:r>
    </w:p>
    <w:p>
      <w:pPr>
        <w:spacing w:after="80" w:line="276" w:lineRule="auto"/>
        <w:jc w:val="both"/>
      </w:pPr>
      <w:r>
        <w:rPr>
          <w:rFonts w:ascii="Times New Roman" w:hAnsi="Times New Roman"/>
          <w:sz w:val="19"/>
        </w:rPr>
        <w:t>[P02] P. Jena, R. Mohanty, and K. Das, "Predicting Student Placement Readiness Using Multiclass Classification and Academic Metrics," Journal of Educational Technology Systems, vol. 50, no. 2, pp. 245–261, 2021.</w:t>
      </w:r>
    </w:p>
    <w:p>
      <w:pPr>
        <w:spacing w:after="80" w:line="276" w:lineRule="auto"/>
        <w:jc w:val="both"/>
      </w:pPr>
      <w:r>
        <w:rPr>
          <w:rFonts w:ascii="Times New Roman" w:hAnsi="Times New Roman"/>
          <w:sz w:val="19"/>
        </w:rPr>
        <w:t>[P03] S. Patil, N. Kulkarni, and V. Shinde, "Automated Resume Screener and Job Matching Using Natural Language Processing Techniques," IEEE International Conference on Computing, Communication and Green Engineering (CCGE), pp. 1–6, 2021.</w:t>
      </w:r>
    </w:p>
    <w:p>
      <w:pPr>
        <w:spacing w:after="80" w:line="276" w:lineRule="auto"/>
        <w:jc w:val="both"/>
      </w:pPr>
      <w:r>
        <w:rPr>
          <w:rFonts w:ascii="Times New Roman" w:hAnsi="Times New Roman"/>
          <w:sz w:val="19"/>
        </w:rPr>
        <w:t>[P04] S. Das and A. Sen, "An Automated Online Placement Portal with Tiered Security and Academic Verification Workflows," International Journal of Computer Applications, vol. 183, no. 12, pp. 31–38, 2021.</w:t>
      </w:r>
    </w:p>
    <w:p>
      <w:pPr>
        <w:spacing w:after="80" w:line="276" w:lineRule="auto"/>
        <w:jc w:val="both"/>
      </w:pPr>
      <w:r>
        <w:rPr>
          <w:rFonts w:ascii="Times New Roman" w:hAnsi="Times New Roman"/>
          <w:sz w:val="19"/>
        </w:rPr>
        <w:t>[P05] E. Çakıt and M. Dağdeviren, "Comparative Assessment of Machine Learning Models for Campus Recruitment Forecasting," Computers &amp; Industrial Engineering, vol. 168, art. no. 108092, 2022.</w:t>
      </w:r>
    </w:p>
    <w:p>
      <w:pPr>
        <w:spacing w:after="80" w:line="276" w:lineRule="auto"/>
        <w:jc w:val="both"/>
      </w:pPr>
      <w:r>
        <w:rPr>
          <w:rFonts w:ascii="Times New Roman" w:hAnsi="Times New Roman"/>
          <w:sz w:val="19"/>
        </w:rPr>
        <w:t>[P06] S. Dhanalakshmi, K. Nirmala, and R. Suganya, "Holistic Student Employability Analysis Integrating Academic and Mock Interview Metrics," International Journal of Engineering Research &amp; Technology (IJERT), vol. 11, no. 5, pp. 412–418, 2022.</w:t>
      </w:r>
    </w:p>
    <w:p>
      <w:pPr>
        <w:spacing w:after="80" w:line="276" w:lineRule="auto"/>
        <w:jc w:val="both"/>
      </w:pPr>
      <w:r>
        <w:rPr>
          <w:rFonts w:ascii="Times New Roman" w:hAnsi="Times New Roman"/>
          <w:sz w:val="19"/>
        </w:rPr>
        <w:t>[P07] R. Sharma and P. Grover, "Design and Implementation of Web-Based Campus Placement Automation System Using Django and PostgreSQL," International Journal of Advanced Computer Science and Applications (IJACSA), vol. 13, no. 7, pp. 520–527, 2022.</w:t>
      </w:r>
    </w:p>
    <w:p>
      <w:pPr>
        <w:spacing w:after="80" w:line="276" w:lineRule="auto"/>
        <w:jc w:val="both"/>
      </w:pPr>
      <w:r>
        <w:rPr>
          <w:rFonts w:ascii="Times New Roman" w:hAnsi="Times New Roman"/>
          <w:sz w:val="19"/>
        </w:rPr>
        <w:t>[P08] S. Roy, A. Roy, and D. Chatterjee, "Information Extraction from Unstructured Resumes Using SpaCy and Named Entity Recognition," Springer Lecture Notes in Networks and Systems, vol. 434, pp. 611–623, 2022.</w:t>
      </w:r>
    </w:p>
    <w:p>
      <w:pPr>
        <w:spacing w:after="80" w:line="276" w:lineRule="auto"/>
        <w:jc w:val="both"/>
      </w:pPr>
      <w:r>
        <w:rPr>
          <w:rFonts w:ascii="Times New Roman" w:hAnsi="Times New Roman"/>
          <w:sz w:val="19"/>
        </w:rPr>
        <w:t>[P09] P. Mishra and A. Srivastava, "Comparative Analysis of Supervised Learning Algorithms for Predicting Student Placement in Engineering Colleges," Procedia Computer Science, vol. 218, pp. 1105–1114, 2022.</w:t>
      </w:r>
    </w:p>
    <w:p>
      <w:pPr>
        <w:spacing w:after="80" w:line="276" w:lineRule="auto"/>
        <w:jc w:val="both"/>
      </w:pPr>
      <w:r>
        <w:rPr>
          <w:rFonts w:ascii="Times New Roman" w:hAnsi="Times New Roman"/>
          <w:sz w:val="19"/>
        </w:rPr>
        <w:t>[P10] W. M. Al-Rahmi, N. Yahaya, and A. A. Aldraiweesh, "Factors Affecting Student Placement Success in Higher Education: An Empirical Investigation Using PLS-SEM," IEEE Access, vol. 10, pp. 45123–45136, 2022.</w:t>
      </w:r>
    </w:p>
    <w:p>
      <w:pPr>
        <w:spacing w:after="80" w:line="276" w:lineRule="auto"/>
        <w:jc w:val="both"/>
      </w:pPr>
      <w:r>
        <w:rPr>
          <w:rFonts w:ascii="Times New Roman" w:hAnsi="Times New Roman"/>
          <w:sz w:val="19"/>
        </w:rPr>
        <w:t>[P11] M. A. Khan, T. Sen, and R. Bansal, "NLP-Based Competency Extraction and Benchmarking for Computer Science Graduates Against Live Industry Postings," Education and Information Technologies, vol. 27, no. 6, pp. 8831–8852, 2022.</w:t>
      </w:r>
    </w:p>
    <w:p>
      <w:pPr>
        <w:spacing w:after="80" w:line="276" w:lineRule="auto"/>
        <w:jc w:val="both"/>
      </w:pPr>
      <w:r>
        <w:rPr>
          <w:rFonts w:ascii="Times New Roman" w:hAnsi="Times New Roman"/>
          <w:sz w:val="19"/>
        </w:rPr>
        <w:t>[P12] V. Kumar and H. Singh, "Intelligent Campus Placement Management System using MERN Stack and Role-Based Access Control," IEEE International Conference on Inventive Computation Technologies (ICICT), pp. 1045–1052, 2023.</w:t>
      </w:r>
    </w:p>
    <w:p>
      <w:pPr>
        <w:spacing w:after="80" w:line="276" w:lineRule="auto"/>
        <w:jc w:val="both"/>
      </w:pPr>
      <w:r>
        <w:rPr>
          <w:rFonts w:ascii="Times New Roman" w:hAnsi="Times New Roman"/>
          <w:sz w:val="19"/>
        </w:rPr>
        <w:t>[P13] P. Bhalekar, S. Deshmukh, and M. Joshi, "Deep Learning and S-BERT Embeddings for ATS-Compliant Resume Parsing and Role Recommendation," International Journal of Information Management Data Insights, vol. 3, no. 2, art. no. 100185, 2023.</w:t>
      </w:r>
    </w:p>
    <w:p>
      <w:pPr>
        <w:spacing w:after="80" w:line="276" w:lineRule="auto"/>
        <w:jc w:val="both"/>
      </w:pPr>
      <w:r>
        <w:rPr>
          <w:rFonts w:ascii="Times New Roman" w:hAnsi="Times New Roman"/>
          <w:sz w:val="19"/>
        </w:rPr>
        <w:t>[P14] L. Zhang, X. Chen, and Y. Wang, "Skill-Gap Detection in Higher Education: A Semantic Text Similarity and Ontology Approach," Computers and Education: Artificial Intelligence, vol. 4, art. no. 100142, 2023.</w:t>
      </w:r>
    </w:p>
    <w:p>
      <w:pPr>
        <w:spacing w:after="80" w:line="276" w:lineRule="auto"/>
        <w:jc w:val="both"/>
      </w:pPr>
      <w:r>
        <w:rPr>
          <w:rFonts w:ascii="Times New Roman" w:hAnsi="Times New Roman"/>
          <w:sz w:val="19"/>
        </w:rPr>
        <w:t>[P15] M. V. Reddy, K. S. Babu, and C. Rao, "Cloud-Based Campus Recruitment Platform with Real-Time Analytics and Interview Scheduling," Springer Journal of Cloud Computing, vol. 12, no. 1, art. no. 64, 2023.</w:t>
      </w:r>
    </w:p>
    <w:p>
      <w:pPr>
        <w:spacing w:after="80" w:line="276" w:lineRule="auto"/>
        <w:jc w:val="both"/>
      </w:pPr>
      <w:r>
        <w:rPr>
          <w:rFonts w:ascii="Times New Roman" w:hAnsi="Times New Roman"/>
          <w:sz w:val="19"/>
        </w:rPr>
        <w:t>[P16] H. Patel and M. Joshi, "Automated Skill Verification and Assessment Pipeline for University Recruitment Drives," IEEE Global Engineering Education Conference (EDUCON), pp. 1–8, 2023.</w:t>
      </w:r>
    </w:p>
    <w:p>
      <w:pPr>
        <w:spacing w:after="80" w:line="276" w:lineRule="auto"/>
        <w:jc w:val="both"/>
      </w:pPr>
      <w:r>
        <w:rPr>
          <w:rFonts w:ascii="Times New Roman" w:hAnsi="Times New Roman"/>
          <w:sz w:val="19"/>
        </w:rPr>
        <w:t>[P17] B. Rao and S. Venkatesh, "Multi-Tenant Cloud Framework for Decentralized Campus Hiring Workflows Across University Departments," Journal of Systems Architecture, vol. 142, art. no. 102941, 2023.</w:t>
      </w:r>
    </w:p>
    <w:p>
      <w:pPr>
        <w:spacing w:after="80" w:line="276" w:lineRule="auto"/>
        <w:jc w:val="both"/>
      </w:pPr>
      <w:r>
        <w:rPr>
          <w:rFonts w:ascii="Times New Roman" w:hAnsi="Times New Roman"/>
          <w:sz w:val="19"/>
        </w:rPr>
        <w:t>[P18] J. Thomas, K. George, and P. Jacob, "Role of Anti-Cheating and Integrity Verification in Remote Campus Recruitment Testing," Computers &amp; Security, vol. 131, art. no. 103310, 2023.</w:t>
      </w:r>
    </w:p>
    <w:p>
      <w:pPr>
        <w:spacing w:after="80" w:line="276" w:lineRule="auto"/>
        <w:jc w:val="both"/>
      </w:pPr>
      <w:r>
        <w:rPr>
          <w:rFonts w:ascii="Times New Roman" w:hAnsi="Times New Roman"/>
          <w:sz w:val="19"/>
        </w:rPr>
        <w:t>[P19] S. Nair and S. Menon, "Machine Learning-Driven Early Warning System for At-Risk Students in Campus Placements," Expert Systems with Applications, vol. 228, art. no. 120405, 2023.</w:t>
      </w:r>
    </w:p>
    <w:p>
      <w:pPr>
        <w:spacing w:after="80" w:line="276" w:lineRule="auto"/>
        <w:jc w:val="both"/>
      </w:pPr>
      <w:r>
        <w:rPr>
          <w:rFonts w:ascii="Times New Roman" w:hAnsi="Times New Roman"/>
          <w:sz w:val="19"/>
        </w:rPr>
        <w:t>[P20] N. Agrawal and S. Kadam, "Predictive Analytics on Multi-Parameter Student Competencies for Campus Placements," International Journal of Information Technology (Springer), vol. 16, no. 3, pp. 1435–1446, 2024.</w:t>
      </w:r>
    </w:p>
    <w:p>
      <w:pPr>
        <w:spacing w:after="80" w:line="276" w:lineRule="auto"/>
        <w:jc w:val="both"/>
      </w:pPr>
      <w:r>
        <w:rPr>
          <w:rFonts w:ascii="Times New Roman" w:hAnsi="Times New Roman"/>
          <w:sz w:val="19"/>
        </w:rPr>
        <w:t>[P21] D. Pathak, S. Verma, and R. Gupta, "Ensemble Voting Classifiers and Feature Engineering for Robust Student Placement Prediction," IIETA Traitement du Signal, vol. 42, no. 1, pp. 115–124, 2025.</w:t>
      </w:r>
    </w:p>
    <w:p>
      <w:pPr>
        <w:spacing w:after="80" w:line="276" w:lineRule="auto"/>
        <w:jc w:val="both"/>
      </w:pPr>
      <w:r>
        <w:rPr>
          <w:rFonts w:ascii="Times New Roman" w:hAnsi="Times New Roman"/>
          <w:sz w:val="19"/>
        </w:rPr>
        <w:t>[P22] A. Gupta, S. Singhal, and R. Sharma, "Explainable Artificial Intelligence (XAI) with SHAP for Transparent Employability Assessment in Higher Education," IEEE Transactions on Learning Technologies, vol. 17, pp. 789–801, 2024.</w:t>
      </w:r>
    </w:p>
    <w:p>
      <w:pPr>
        <w:spacing w:after="80" w:line="276" w:lineRule="auto"/>
        <w:jc w:val="both"/>
      </w:pPr>
      <w:r>
        <w:rPr>
          <w:rFonts w:ascii="Times New Roman" w:hAnsi="Times New Roman"/>
          <w:sz w:val="19"/>
        </w:rPr>
        <w:t>[P23] R. Choudhury, S. Sengupta, and P. Banerjee, "Fine-Tuned Transformer Models for Contextual Candidate-Job Fit Analysis in College Recruitment," ACM Transactions on Knowledge Discovery from Data, vol. 18, no. 4, art. no. 89, 2024.</w:t>
      </w:r>
    </w:p>
    <w:p>
      <w:pPr>
        <w:spacing w:after="80" w:line="276" w:lineRule="auto"/>
        <w:jc w:val="both"/>
      </w:pPr>
      <w:r>
        <w:rPr>
          <w:rFonts w:ascii="Times New Roman" w:hAnsi="Times New Roman"/>
          <w:sz w:val="19"/>
        </w:rPr>
        <w:t>[P24] K. Verma, A. Shukla, and P. Tiwari, "Transforming Campus Recruitment: Large Language Model-Assisted Resume Optimization and Skill Gap Analysis," International Journal of Human-Computer Studies, vol. 185, art. no. 103212, 2024.</w:t>
      </w:r>
    </w:p>
    <w:p>
      <w:pPr>
        <w:spacing w:after="80" w:line="276" w:lineRule="auto"/>
        <w:jc w:val="both"/>
      </w:pPr>
      <w:r>
        <w:rPr>
          <w:rFonts w:ascii="Times New Roman" w:hAnsi="Times New Roman"/>
          <w:sz w:val="19"/>
        </w:rPr>
        <w:t>[P25] T. Sundar, V. Natarajan, and S. Balaji, "Graph Neural Networks for Context-Aware Recruiter-Student Matching in Higher Education," Elsevier Knowledge-Based Systems, vol. 290, art. no. 111582, 2024.</w:t>
      </w:r>
    </w:p>
    <w:p>
      <w:pPr>
        <w:spacing w:after="80" w:line="276" w:lineRule="auto"/>
        <w:jc w:val="both"/>
      </w:pPr>
      <w:r>
        <w:rPr>
          <w:rFonts w:ascii="Times New Roman" w:hAnsi="Times New Roman"/>
          <w:sz w:val="19"/>
        </w:rPr>
        <w:t>[P26] R. Saini and M. Bansal, "Evaluating the Empirical Impact of Hackathon and Practical Project Experience on Student Placement Outcomes," Higher Education Quarterly, vol. 78, no. 2, pp. 312–29, 2024.</w:t>
      </w:r>
    </w:p>
    <w:p>
      <w:pPr>
        <w:spacing w:after="80" w:line="276" w:lineRule="auto"/>
        <w:jc w:val="both"/>
      </w:pPr>
      <w:r>
        <w:rPr>
          <w:rFonts w:ascii="Times New Roman" w:hAnsi="Times New Roman"/>
          <w:sz w:val="19"/>
        </w:rPr>
        <w:t>[P27] O. Kulkarni, A. Deshpande, and S. More, "Automated ATS Resume Formatter and Content Scoring System for Undergraduates," IEEE International Conference on Contemporary Computing (IC3), pp. 210–216, 2024.</w:t>
      </w:r>
    </w:p>
    <w:p>
      <w:pPr>
        <w:spacing w:after="80" w:line="276" w:lineRule="auto"/>
        <w:jc w:val="both"/>
      </w:pPr>
      <w:r>
        <w:rPr>
          <w:rFonts w:ascii="Times New Roman" w:hAnsi="Times New Roman"/>
          <w:sz w:val="19"/>
        </w:rPr>
        <w:t>[P28] P. Ghosh, A. Bhattacharya, and S. Roy, "Prescriptive Placement Analytics: Recommending Targeted Curricular Interventions using Decision Trees and Reinforcement Learning," Computers &amp; Education, vol. 210, art. no. 104981, 2025.</w:t>
      </w:r>
    </w:p>
    <w:p>
      <w:pPr>
        <w:spacing w:after="80" w:line="276" w:lineRule="auto"/>
        <w:jc w:val="both"/>
      </w:pPr>
      <w:r>
        <w:rPr>
          <w:rFonts w:ascii="Times New Roman" w:hAnsi="Times New Roman"/>
          <w:sz w:val="19"/>
        </w:rPr>
        <w:t>[P29] S. Mukherjee and N. Chatterjee, "Deep Neural Network Architecture for Multi-Class Job Role Suitability Prediction in Engineering Graduates," Springer Neural Computing and Applications, vol. 37, no. 3, pp. 2211–2227, 2025.</w:t>
      </w:r>
    </w:p>
    <w:p>
      <w:pPr>
        <w:spacing w:after="80" w:line="276" w:lineRule="auto"/>
        <w:jc w:val="both"/>
      </w:pPr>
      <w:r>
        <w:rPr>
          <w:rFonts w:ascii="Times New Roman" w:hAnsi="Times New Roman"/>
          <w:sz w:val="19"/>
        </w:rPr>
        <w:t>[P30] M. Swaminathan and K. Balaji, "End-to-End Placement Management System with Continuous Assessment and Dynamic Skill Profiling: An Institutional Implementation," IEEE Transactions on Education, vol. 68, no. 1, pp. 98–110,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