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32"/>
        </w:rPr>
        <w:t>LATIHAN SOAL BLOCK CLINICAL SCIENCE</w:t>
      </w:r>
    </w:p>
    <w:p>
      <w:pPr>
        <w:spacing w:after="320"/>
        <w:jc w:val="center"/>
      </w:pPr>
      <w:r>
        <w:rPr>
          <w:rFonts w:ascii="Calibri" w:hAnsi="Calibri"/>
          <w:b w:val="0"/>
          <w:sz w:val="22"/>
        </w:rPr>
        <w:t>Total soal: 40</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720"/>
            <w:vAlign w:val="center"/>
          </w:tcPr>
          <w:p>
            <w:pPr>
              <w:spacing w:before="0" w:after="0"/>
              <w:jc w:val="center"/>
            </w:pPr>
            <w:r>
              <w:rPr>
                <w:rFonts w:ascii="Calibri" w:hAnsi="Calibri"/>
                <w:b/>
                <w:sz w:val="22"/>
              </w:rPr>
              <w:t>No</w:t>
            </w:r>
          </w:p>
        </w:tc>
        <w:tc>
          <w:tcPr>
            <w:tcW w:type="dxa" w:w="1872"/>
            <w:vAlign w:val="center"/>
          </w:tcPr>
          <w:p>
            <w:pPr>
              <w:spacing w:before="0" w:after="0"/>
              <w:jc w:val="center"/>
            </w:pPr>
            <w:r>
              <w:rPr>
                <w:rFonts w:ascii="Calibri" w:hAnsi="Calibri"/>
                <w:b/>
                <w:sz w:val="22"/>
              </w:rPr>
              <w:t>KISI-KISI</w:t>
            </w:r>
          </w:p>
        </w:tc>
        <w:tc>
          <w:tcPr>
            <w:tcW w:type="dxa" w:w="5616"/>
            <w:vAlign w:val="center"/>
          </w:tcPr>
          <w:p>
            <w:pPr>
              <w:spacing w:before="0" w:after="0"/>
              <w:jc w:val="center"/>
            </w:pPr>
            <w:r>
              <w:rPr>
                <w:rFonts w:ascii="Calibri" w:hAnsi="Calibri"/>
                <w:b/>
                <w:sz w:val="22"/>
              </w:rPr>
              <w:t>SOAL</w:t>
            </w:r>
          </w:p>
        </w:tc>
        <w:tc>
          <w:tcPr>
            <w:tcW w:type="dxa" w:w="3312"/>
            <w:vAlign w:val="center"/>
          </w:tcPr>
          <w:p>
            <w:pPr>
              <w:spacing w:before="0" w:after="0"/>
              <w:jc w:val="center"/>
            </w:pPr>
            <w:r>
              <w:rPr>
                <w:rFonts w:ascii="Calibri" w:hAnsi="Calibri"/>
                <w:b/>
                <w:sz w:val="22"/>
              </w:rPr>
              <w:t>PEMBAHASAN</w:t>
            </w:r>
          </w:p>
        </w:tc>
      </w:tr>
      <w:tr>
        <w:tc>
          <w:tcPr>
            <w:tcW w:type="dxa" w:w="720"/>
            <w:vAlign w:val="top"/>
          </w:tcPr>
          <w:p>
            <w:pPr>
              <w:spacing w:before="0" w:after="0"/>
              <w:jc w:val="center"/>
            </w:pPr>
            <w:r>
              <w:rPr>
                <w:rFonts w:ascii="Calibri" w:hAnsi="Calibri"/>
                <w:b w:val="0"/>
                <w:sz w:val="22"/>
              </w:rPr>
              <w:t>1</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anak berusia 10 tahun didiagnosis TBC dan memulai pengobatan dengan regimen standar. Setelah 3 bulan, orang tuanya melaporkan bahwa anak tersebut sering menabrak benda dan kesulitan melihat di malam hari. Meskipun gejala ini tidak spesifik, obat anti-TBC manakah yang paling memerlukan pemantauan ketat terhadap fungsi penglihatan dan harus diwaspadai sebagai penyebab potensial?</w:t>
            </w:r>
          </w:p>
          <w:p>
            <w:pPr>
              <w:spacing w:before="0" w:after="0"/>
            </w:pPr>
            <w:r>
              <w:rPr>
                <w:rFonts w:ascii="Calibri" w:hAnsi="Calibri"/>
                <w:b w:val="0"/>
                <w:sz w:val="22"/>
              </w:rPr>
              <w:t>A. Rifampisin</w:t>
            </w:r>
          </w:p>
          <w:p>
            <w:pPr>
              <w:spacing w:before="0" w:after="0"/>
            </w:pPr>
            <w:r>
              <w:rPr>
                <w:rFonts w:ascii="Calibri" w:hAnsi="Calibri"/>
                <w:b w:val="0"/>
                <w:sz w:val="22"/>
              </w:rPr>
              <w:t>B. Isoniazid</w:t>
            </w:r>
          </w:p>
          <w:p>
            <w:pPr>
              <w:spacing w:before="0" w:after="0"/>
            </w:pPr>
            <w:r>
              <w:rPr>
                <w:rFonts w:ascii="Calibri" w:hAnsi="Calibri"/>
                <w:b w:val="0"/>
                <w:sz w:val="22"/>
              </w:rPr>
              <w:t>C. Pirazinamid</w:t>
            </w:r>
          </w:p>
          <w:p>
            <w:pPr>
              <w:spacing w:before="0" w:after="0"/>
            </w:pPr>
            <w:r>
              <w:rPr>
                <w:rFonts w:ascii="Calibri" w:hAnsi="Calibri"/>
                <w:b w:val="0"/>
                <w:sz w:val="22"/>
              </w:rPr>
              <w:t>D. Etambutol</w:t>
            </w:r>
          </w:p>
          <w:p>
            <w:pPr>
              <w:spacing w:before="0" w:after="0"/>
            </w:pPr>
            <w:r>
              <w:rPr>
                <w:rFonts w:ascii="Calibri" w:hAnsi="Calibri"/>
                <w:b w:val="0"/>
                <w:sz w:val="22"/>
              </w:rPr>
              <w:t>E. Streptomisin</w:t>
            </w:r>
          </w:p>
        </w:tc>
        <w:tc>
          <w:tcPr>
            <w:tcW w:type="dxa" w:w="3312"/>
            <w:vAlign w:val="top"/>
          </w:tcPr>
          <w:p>
            <w:pPr>
              <w:spacing w:before="0" w:after="0"/>
              <w:jc w:val="left"/>
            </w:pPr>
            <w:r>
              <w:rPr>
                <w:rFonts w:ascii="Calibri" w:hAnsi="Calibri"/>
                <w:b w:val="0"/>
                <w:sz w:val="22"/>
              </w:rPr>
              <w:t>Jawaban: D</w:t>
            </w:r>
          </w:p>
          <w:p>
            <w:pPr>
              <w:spacing w:before="0" w:after="0"/>
            </w:pPr>
            <w:r>
              <w:rPr>
                <w:rFonts w:ascii="Calibri" w:hAnsi="Calibri"/>
                <w:b w:val="0"/>
                <w:sz w:val="22"/>
              </w:rPr>
            </w:r>
          </w:p>
          <w:p>
            <w:pPr>
              <w:spacing w:before="0" w:after="0"/>
            </w:pPr>
            <w:r>
              <w:rPr>
                <w:rFonts w:ascii="Calibri" w:hAnsi="Calibri"/>
                <w:b w:val="0"/>
                <w:sz w:val="22"/>
              </w:rPr>
              <w:t>Pembahasan: Etambutol adalah obat anti-TBC yang paling dikenal menyebabkan efek samping okular, termasuk neuropati optik yang dapat memengaruhi tajam penglihatan dan lapang pandang. Meskipun kesulitan melihat di malam hari (nyctalopia) tidak selalu menjadi gejala utama, setiap keluhan visual pada pasien yang mengonsumsi Etambutol harus ditanggapi serius dan memerlukan evaluasi oftalmologi segera.</w:t>
            </w:r>
          </w:p>
        </w:tc>
      </w:tr>
      <w:tr>
        <w:tc>
          <w:tcPr>
            <w:tcW w:type="dxa" w:w="720"/>
            <w:vAlign w:val="top"/>
          </w:tcPr>
          <w:p>
            <w:pPr>
              <w:spacing w:before="0" w:after="0"/>
              <w:jc w:val="center"/>
            </w:pPr>
            <w:r>
              <w:rPr>
                <w:rFonts w:ascii="Calibri" w:hAnsi="Calibri"/>
                <w:b w:val="0"/>
                <w:sz w:val="22"/>
              </w:rPr>
              <w:t>2</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pasien 62 tahun dengan osteoporosis akan menerima infus zoledronic acid. Apoteker menjelaskan bahwa ada efek samping yang sering terjadi dalam beberapa hari pertama setelah infus, yang bersifat sementara dan dapat dikelola dengan obat bebas. Efek samping manakah yang dimaksud?</w:t>
            </w:r>
          </w:p>
          <w:p>
            <w:pPr>
              <w:spacing w:before="0" w:after="0"/>
            </w:pPr>
            <w:r>
              <w:rPr>
                <w:rFonts w:ascii="Calibri" w:hAnsi="Calibri"/>
                <w:b w:val="0"/>
                <w:sz w:val="22"/>
              </w:rPr>
              <w:t>A. Peningkatan risiko infeksi saluran kemih</w:t>
            </w:r>
          </w:p>
          <w:p>
            <w:pPr>
              <w:spacing w:before="0" w:after="0"/>
            </w:pPr>
            <w:r>
              <w:rPr>
                <w:rFonts w:ascii="Calibri" w:hAnsi="Calibri"/>
                <w:b w:val="0"/>
                <w:sz w:val="22"/>
              </w:rPr>
              <w:t>B. Reaksi alergi kulit berat</w:t>
            </w:r>
          </w:p>
          <w:p>
            <w:pPr>
              <w:spacing w:before="0" w:after="0"/>
            </w:pPr>
            <w:r>
              <w:rPr>
                <w:rFonts w:ascii="Calibri" w:hAnsi="Calibri"/>
                <w:b w:val="0"/>
                <w:sz w:val="22"/>
              </w:rPr>
              <w:t>C. Gejala seperti demam, nyeri sendi, dan kelelahan</w:t>
            </w:r>
          </w:p>
          <w:p>
            <w:pPr>
              <w:spacing w:before="0" w:after="0"/>
            </w:pPr>
            <w:r>
              <w:rPr>
                <w:rFonts w:ascii="Calibri" w:hAnsi="Calibri"/>
                <w:b w:val="0"/>
                <w:sz w:val="22"/>
              </w:rPr>
              <w:t>D. Penurunan tajam kadar gula darah</w:t>
            </w:r>
          </w:p>
          <w:p>
            <w:pPr>
              <w:spacing w:before="0" w:after="0"/>
            </w:pPr>
            <w:r>
              <w:rPr>
                <w:rFonts w:ascii="Calibri" w:hAnsi="Calibri"/>
                <w:b w:val="0"/>
                <w:sz w:val="22"/>
              </w:rPr>
              <w:t>E. Gangguan penglihatan mendadak</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Pembahasan: Gejala seperti demam, nyeri sendi, dan kelelahan adalah manifestasi dari reaksi fase akut yang umum terjadi setelah pemberian zoledronic acid. Efek samping ini bersifat sementara dan seringkali dapat diringankan dengan analgesik atau antipiretik seperti parasetamol. Distraktor lain adalah efek samping yang tidak umum, tidak akut, atau tidak terkait dengan zoledronic acid.</w:t>
            </w:r>
          </w:p>
        </w:tc>
      </w:tr>
      <w:tr>
        <w:tc>
          <w:tcPr>
            <w:tcW w:type="dxa" w:w="720"/>
            <w:vAlign w:val="top"/>
          </w:tcPr>
          <w:p>
            <w:pPr>
              <w:spacing w:before="0" w:after="0"/>
              <w:jc w:val="center"/>
            </w:pPr>
            <w:r>
              <w:rPr>
                <w:rFonts w:ascii="Calibri" w:hAnsi="Calibri"/>
                <w:b w:val="0"/>
                <w:sz w:val="22"/>
              </w:rPr>
              <w:t>3</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Pasien HIV dengan tuberkulosis paru akan memulai terapi OAT. Pasien sedang dalam regimen ARV yang stabil. Dokter perlu mempertimbangkan penyesuaian dosis ARV jika salah satu OAT berikut diberikan, karena potensi interaksi obat yang signifikan. Obat apakah yang dimaksud?</w:t>
            </w:r>
          </w:p>
          <w:p>
            <w:pPr>
              <w:spacing w:before="0" w:after="0"/>
            </w:pPr>
            <w:r>
              <w:rPr>
                <w:rFonts w:ascii="Calibri" w:hAnsi="Calibri"/>
                <w:b w:val="0"/>
                <w:sz w:val="22"/>
              </w:rPr>
              <w:t>A. Etambutol</w:t>
            </w:r>
          </w:p>
          <w:p>
            <w:pPr>
              <w:spacing w:before="0" w:after="0"/>
            </w:pPr>
            <w:r>
              <w:rPr>
                <w:rFonts w:ascii="Calibri" w:hAnsi="Calibri"/>
                <w:b w:val="0"/>
                <w:sz w:val="22"/>
              </w:rPr>
              <w:t>B. Isoniazid</w:t>
            </w:r>
          </w:p>
          <w:p>
            <w:pPr>
              <w:spacing w:before="0" w:after="0"/>
            </w:pPr>
            <w:r>
              <w:rPr>
                <w:rFonts w:ascii="Calibri" w:hAnsi="Calibri"/>
                <w:b w:val="0"/>
                <w:sz w:val="22"/>
              </w:rPr>
              <w:t>C. Pirazinamid</w:t>
            </w:r>
          </w:p>
          <w:p>
            <w:pPr>
              <w:spacing w:before="0" w:after="0"/>
            </w:pPr>
            <w:r>
              <w:rPr>
                <w:rFonts w:ascii="Calibri" w:hAnsi="Calibri"/>
                <w:b w:val="0"/>
                <w:sz w:val="22"/>
              </w:rPr>
              <w:t>D. Streptomisin</w:t>
            </w:r>
          </w:p>
          <w:p>
            <w:pPr>
              <w:spacing w:before="0" w:after="0"/>
            </w:pPr>
            <w:r>
              <w:rPr>
                <w:rFonts w:ascii="Calibri" w:hAnsi="Calibri"/>
                <w:b w:val="0"/>
                <w:sz w:val="22"/>
              </w:rPr>
              <w:t>E. Rifampisin</w:t>
            </w:r>
          </w:p>
        </w:tc>
        <w:tc>
          <w:tcPr>
            <w:tcW w:type="dxa" w:w="3312"/>
            <w:vAlign w:val="top"/>
          </w:tcPr>
          <w:p>
            <w:pPr>
              <w:spacing w:before="0" w:after="0"/>
              <w:jc w:val="left"/>
            </w:pPr>
            <w:r>
              <w:rPr>
                <w:rFonts w:ascii="Calibri" w:hAnsi="Calibri"/>
                <w:b w:val="0"/>
                <w:sz w:val="22"/>
              </w:rPr>
              <w:t>Jawaban: E</w:t>
            </w:r>
          </w:p>
          <w:p>
            <w:pPr>
              <w:spacing w:before="0" w:after="0"/>
            </w:pPr>
            <w:r>
              <w:rPr>
                <w:rFonts w:ascii="Calibri" w:hAnsi="Calibri"/>
                <w:b w:val="0"/>
                <w:sz w:val="22"/>
              </w:rPr>
            </w:r>
          </w:p>
          <w:p>
            <w:pPr>
              <w:spacing w:before="0" w:after="0"/>
            </w:pPr>
            <w:r>
              <w:rPr>
                <w:rFonts w:ascii="Calibri" w:hAnsi="Calibri"/>
                <w:b w:val="0"/>
                <w:sz w:val="22"/>
              </w:rPr>
              <w:t>Pembahasan: Rifampisin adalah induktor kuat enzim CYP450, P-glikoprotein, dan UGT1A1, yang dapat menurunkan konsentrasi plasma banyak ARV, sehingga memerlukan penyesuaian dosis atau penggantian ARV untuk mempertahankan efikasi.</w:t>
            </w:r>
          </w:p>
        </w:tc>
      </w:tr>
      <w:tr>
        <w:tc>
          <w:tcPr>
            <w:tcW w:type="dxa" w:w="720"/>
            <w:vAlign w:val="top"/>
          </w:tcPr>
          <w:p>
            <w:pPr>
              <w:spacing w:before="0" w:after="0"/>
              <w:jc w:val="center"/>
            </w:pPr>
            <w:r>
              <w:rPr>
                <w:rFonts w:ascii="Calibri" w:hAnsi="Calibri"/>
                <w:b w:val="0"/>
                <w:sz w:val="22"/>
              </w:rPr>
              <w:t>4</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pasien dengan rheumatoid arthritis yang sedang menerima Infliximab mengeluhkan batuk produktif yang semakin parah selama 3 minggu, disertai demam dan keringat malam. Hasil rontgen toraks menunjukkan kavitas di lobus atas paru. Apakah tindakan PALING tepat?</w:t>
            </w:r>
          </w:p>
          <w:p>
            <w:pPr>
              <w:spacing w:before="0" w:after="0"/>
            </w:pPr>
            <w:r>
              <w:rPr>
                <w:rFonts w:ascii="Calibri" w:hAnsi="Calibri"/>
                <w:b w:val="0"/>
                <w:sz w:val="22"/>
              </w:rPr>
              <w:t>A. Lanjutkan infliximab dan mulai terapi antibiotik empiris.</w:t>
            </w:r>
          </w:p>
          <w:p>
            <w:pPr>
              <w:spacing w:before="0" w:after="0"/>
            </w:pPr>
            <w:r>
              <w:rPr>
                <w:rFonts w:ascii="Calibri" w:hAnsi="Calibri"/>
                <w:b w:val="0"/>
                <w:sz w:val="22"/>
              </w:rPr>
              <w:t>B. Hentikan Infliximab dan segera mulai terapi OAT.</w:t>
            </w:r>
          </w:p>
          <w:p>
            <w:pPr>
              <w:spacing w:before="0" w:after="0"/>
            </w:pPr>
            <w:r>
              <w:rPr>
                <w:rFonts w:ascii="Calibri" w:hAnsi="Calibri"/>
                <w:b w:val="0"/>
                <w:sz w:val="22"/>
              </w:rPr>
              <w:t>C. Lanjutkan Infliximab dan lakukan tes IGRA ulang.</w:t>
            </w:r>
          </w:p>
          <w:p>
            <w:pPr>
              <w:spacing w:before="0" w:after="0"/>
            </w:pPr>
            <w:r>
              <w:rPr>
                <w:rFonts w:ascii="Calibri" w:hAnsi="Calibri"/>
                <w:b w:val="0"/>
                <w:sz w:val="22"/>
              </w:rPr>
              <w:t>D. Ganti Infliximab dengan methotrexate dan pantau.</w:t>
            </w:r>
          </w:p>
          <w:p>
            <w:pPr>
              <w:spacing w:before="0" w:after="0"/>
            </w:pPr>
            <w:r>
              <w:rPr>
                <w:rFonts w:ascii="Calibri" w:hAnsi="Calibri"/>
                <w:b w:val="0"/>
                <w:sz w:val="22"/>
              </w:rPr>
              <w:t>E. Kurangi dosis certolizumab dan berikan obat batuk.</w:t>
            </w:r>
          </w:p>
        </w:tc>
        <w:tc>
          <w:tcPr>
            <w:tcW w:type="dxa" w:w="3312"/>
            <w:vAlign w:val="top"/>
          </w:tcPr>
          <w:p>
            <w:pPr>
              <w:spacing w:before="0" w:after="0"/>
              <w:jc w:val="left"/>
            </w:pPr>
            <w:r>
              <w:rPr>
                <w:rFonts w:ascii="Calibri" w:hAnsi="Calibri"/>
                <w:b w:val="0"/>
                <w:sz w:val="22"/>
              </w:rPr>
              <w:t>Jawaban: B</w:t>
            </w:r>
          </w:p>
          <w:p>
            <w:pPr>
              <w:spacing w:before="0" w:after="0"/>
            </w:pPr>
            <w:r>
              <w:rPr>
                <w:rFonts w:ascii="Calibri" w:hAnsi="Calibri"/>
                <w:b w:val="0"/>
                <w:sz w:val="22"/>
              </w:rPr>
            </w:r>
          </w:p>
          <w:p>
            <w:pPr>
              <w:spacing w:before="0" w:after="0"/>
            </w:pPr>
            <w:r>
              <w:rPr>
                <w:rFonts w:ascii="Calibri" w:hAnsi="Calibri"/>
                <w:b w:val="0"/>
                <w:sz w:val="22"/>
              </w:rPr>
              <w:t>Pembahasan: Infliximab pegol adalah anti-TNF yang meningkatkan risiko TB. Gejala batuk produktif, demam, keringat malam, dan kavitas paru sangat sugestif TB aktif. Dalam kasus TB aktif yang terkonfirmasi atau sangat dicurigai, terapi anti-TNF harus dihentikan dan terapi OAT segera dimulai.</w:t>
            </w:r>
          </w:p>
        </w:tc>
      </w:tr>
      <w:tr>
        <w:tc>
          <w:tcPr>
            <w:tcW w:type="dxa" w:w="720"/>
            <w:vAlign w:val="top"/>
          </w:tcPr>
          <w:p>
            <w:pPr>
              <w:spacing w:before="0" w:after="0"/>
              <w:jc w:val="center"/>
            </w:pPr>
            <w:r>
              <w:rPr>
                <w:rFonts w:ascii="Calibri" w:hAnsi="Calibri"/>
                <w:b w:val="0"/>
                <w:sz w:val="22"/>
              </w:rPr>
              <w:t>5</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anak laki-laki berusia 7 tahun dari daerah pedesaan dibawa ke puskesmas karena tampak pucat, berat badan kurang, dan sering mengeluh sakit perut. Pemeriksaan fisik menunjukkan konjungtiva anemis. Hasil pemeriksaan mikroskopis tinja menunjukkan adanya telur cacing tambang. Pengobatan yang direkomendasikan adalah...</w:t>
            </w:r>
          </w:p>
          <w:p>
            <w:pPr>
              <w:spacing w:before="0" w:after="0"/>
            </w:pPr>
            <w:r>
              <w:rPr>
                <w:rFonts w:ascii="Calibri" w:hAnsi="Calibri"/>
                <w:b w:val="0"/>
                <w:sz w:val="22"/>
              </w:rPr>
              <w:t>A. Metronidazole 500 mg tiga kali sehari selama 7 hari</w:t>
            </w:r>
          </w:p>
          <w:p>
            <w:pPr>
              <w:spacing w:before="0" w:after="0"/>
            </w:pPr>
            <w:r>
              <w:rPr>
                <w:rFonts w:ascii="Calibri" w:hAnsi="Calibri"/>
                <w:b w:val="0"/>
                <w:sz w:val="22"/>
              </w:rPr>
              <w:t>B. Albendazole 400 mg dosis tunggal</w:t>
            </w:r>
          </w:p>
          <w:p>
            <w:pPr>
              <w:spacing w:before="0" w:after="0"/>
            </w:pPr>
            <w:r>
              <w:rPr>
                <w:rFonts w:ascii="Calibri" w:hAnsi="Calibri"/>
                <w:b w:val="0"/>
                <w:sz w:val="22"/>
              </w:rPr>
              <w:t>C. Praziquantel 25 mg/kgBB dosis tunggal</w:t>
            </w:r>
          </w:p>
          <w:p>
            <w:pPr>
              <w:spacing w:before="0" w:after="0"/>
            </w:pPr>
            <w:r>
              <w:rPr>
                <w:rFonts w:ascii="Calibri" w:hAnsi="Calibri"/>
                <w:b w:val="0"/>
                <w:sz w:val="22"/>
              </w:rPr>
              <w:t>D. Mebendazole 100 mg dua kali sehari selama 3 hari</w:t>
            </w:r>
          </w:p>
          <w:p>
            <w:pPr>
              <w:spacing w:before="0" w:after="0"/>
            </w:pPr>
            <w:r>
              <w:rPr>
                <w:rFonts w:ascii="Calibri" w:hAnsi="Calibri"/>
                <w:b w:val="0"/>
                <w:sz w:val="22"/>
              </w:rPr>
              <w:t>E. Niclosamide 2 g dosis tunggal</w:t>
            </w:r>
          </w:p>
        </w:tc>
        <w:tc>
          <w:tcPr>
            <w:tcW w:type="dxa" w:w="3312"/>
            <w:vAlign w:val="top"/>
          </w:tcPr>
          <w:p>
            <w:pPr>
              <w:spacing w:before="0" w:after="0"/>
              <w:jc w:val="left"/>
            </w:pPr>
            <w:r>
              <w:rPr>
                <w:rFonts w:ascii="Calibri" w:hAnsi="Calibri"/>
                <w:b w:val="0"/>
                <w:sz w:val="22"/>
              </w:rPr>
              <w:t>Jawaban: B</w:t>
            </w:r>
          </w:p>
          <w:p>
            <w:pPr>
              <w:spacing w:before="0" w:after="0"/>
            </w:pPr>
            <w:r>
              <w:rPr>
                <w:rFonts w:ascii="Calibri" w:hAnsi="Calibri"/>
                <w:b w:val="0"/>
                <w:sz w:val="22"/>
              </w:rPr>
            </w:r>
          </w:p>
          <w:p>
            <w:pPr>
              <w:spacing w:before="0" w:after="0"/>
            </w:pPr>
            <w:r>
              <w:rPr>
                <w:rFonts w:ascii="Calibri" w:hAnsi="Calibri"/>
                <w:b w:val="0"/>
                <w:sz w:val="22"/>
              </w:rPr>
              <w:t>Pembahasan: Anak tersebut menunjukkan gejala dan hasil pemeriksaan yang konsisten dengan infeksi cacing tambang. Albendazole 400 mg dosis tunggal adalah pilihan terapi yang efektif dan direkomendasikan untuk infeksi cacing tambang pada anak usia di atas 2 tahun.</w:t>
            </w:r>
          </w:p>
        </w:tc>
      </w:tr>
      <w:tr>
        <w:tc>
          <w:tcPr>
            <w:tcW w:type="dxa" w:w="720"/>
            <w:vAlign w:val="top"/>
          </w:tcPr>
          <w:p>
            <w:pPr>
              <w:spacing w:before="0" w:after="0"/>
              <w:jc w:val="center"/>
            </w:pPr>
            <w:r>
              <w:rPr>
                <w:rFonts w:ascii="Calibri" w:hAnsi="Calibri"/>
                <w:b w:val="0"/>
                <w:sz w:val="22"/>
              </w:rPr>
              <w:t>6</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Tn. B, 65 tahun, mengeluhkan nyeri ulu hati dan regurgitasi asam yang sering terjadi, didiagnosis GERD. Ia juga memiliki riwayat osteoporosis dan sedang mengonsumsi suplemen kalsium. Obat GERD manakah yang harus dipertimbangkan dengan hati-hati karena potensi interaksi atau efek samping yang relevan?</w:t>
            </w:r>
          </w:p>
          <w:p>
            <w:pPr>
              <w:spacing w:before="0" w:after="0"/>
            </w:pPr>
            <w:r>
              <w:rPr>
                <w:rFonts w:ascii="Calibri" w:hAnsi="Calibri"/>
                <w:b w:val="0"/>
                <w:sz w:val="22"/>
              </w:rPr>
              <w:t>A. Omeprazole</w:t>
            </w:r>
          </w:p>
          <w:p>
            <w:pPr>
              <w:spacing w:before="0" w:after="0"/>
            </w:pPr>
            <w:r>
              <w:rPr>
                <w:rFonts w:ascii="Calibri" w:hAnsi="Calibri"/>
                <w:b w:val="0"/>
                <w:sz w:val="22"/>
              </w:rPr>
              <w:t>B. Sukralfat</w:t>
            </w:r>
          </w:p>
          <w:p>
            <w:pPr>
              <w:spacing w:before="0" w:after="0"/>
            </w:pPr>
            <w:r>
              <w:rPr>
                <w:rFonts w:ascii="Calibri" w:hAnsi="Calibri"/>
                <w:b w:val="0"/>
                <w:sz w:val="22"/>
              </w:rPr>
              <w:t>C. Ranitidin</w:t>
            </w:r>
          </w:p>
          <w:p>
            <w:pPr>
              <w:spacing w:before="0" w:after="0"/>
            </w:pPr>
            <w:r>
              <w:rPr>
                <w:rFonts w:ascii="Calibri" w:hAnsi="Calibri"/>
                <w:b w:val="0"/>
                <w:sz w:val="22"/>
              </w:rPr>
              <w:t>D. Antasida</w:t>
            </w:r>
          </w:p>
          <w:p>
            <w:pPr>
              <w:spacing w:before="0" w:after="0"/>
            </w:pPr>
            <w:r>
              <w:rPr>
                <w:rFonts w:ascii="Calibri" w:hAnsi="Calibri"/>
                <w:b w:val="0"/>
                <w:sz w:val="22"/>
              </w:rPr>
              <w:t>E. Metoklopramid</w:t>
            </w:r>
          </w:p>
        </w:tc>
        <w:tc>
          <w:tcPr>
            <w:tcW w:type="dxa" w:w="3312"/>
            <w:vAlign w:val="top"/>
          </w:tcPr>
          <w:p>
            <w:pPr>
              <w:spacing w:before="0" w:after="0"/>
              <w:jc w:val="left"/>
            </w:pPr>
            <w:r>
              <w:rPr>
                <w:rFonts w:ascii="Calibri" w:hAnsi="Calibri"/>
                <w:b w:val="0"/>
                <w:sz w:val="22"/>
              </w:rPr>
              <w:t>Jawaban: A</w:t>
            </w:r>
          </w:p>
          <w:p>
            <w:pPr>
              <w:spacing w:before="0" w:after="0"/>
            </w:pPr>
            <w:r>
              <w:rPr>
                <w:rFonts w:ascii="Calibri" w:hAnsi="Calibri"/>
                <w:b w:val="0"/>
                <w:sz w:val="22"/>
              </w:rPr>
            </w:r>
          </w:p>
          <w:p>
            <w:pPr>
              <w:spacing w:before="0" w:after="0"/>
            </w:pPr>
            <w:r>
              <w:rPr>
                <w:rFonts w:ascii="Calibri" w:hAnsi="Calibri"/>
                <w:b w:val="0"/>
                <w:sz w:val="22"/>
              </w:rPr>
              <w:t>Pembahasan: Meskipun PPI sangat efektif, penggunaan jangka panjangnya telah dikaitkan dengan peningkatan risiko fraktur terkait osteoporosis dan penurunan penyerapan kalsium, yang menjadi perhatian pada pasien dengan riwayat osteoporosis. Oleh karena itu, omeprazole harus dipertimbangkan dengan hati-hati pada pasien ini.</w:t>
            </w:r>
          </w:p>
        </w:tc>
      </w:tr>
      <w:tr>
        <w:tc>
          <w:tcPr>
            <w:tcW w:type="dxa" w:w="720"/>
            <w:vAlign w:val="top"/>
          </w:tcPr>
          <w:p>
            <w:pPr>
              <w:spacing w:before="0" w:after="0"/>
              <w:jc w:val="center"/>
            </w:pPr>
            <w:r>
              <w:rPr>
                <w:rFonts w:ascii="Calibri" w:hAnsi="Calibri"/>
                <w:b w:val="0"/>
                <w:sz w:val="22"/>
              </w:rPr>
              <w:t>7</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Pasien wanita 65 tahun, baru pulang dari rumah sakit setelah operasi panggul, mengalami diare berair hebat (12x/hari) disertai demam 39°C dan leukositosis (WBC 18.000/uL). Hasil tes toksin C. difficile positif. Dokter mendiagnosis CDI berat. Terapi antibiotik oral yang paling tepat untuk pasien ini adalah?</w:t>
            </w:r>
          </w:p>
          <w:p>
            <w:pPr>
              <w:spacing w:before="0" w:after="0"/>
            </w:pPr>
            <w:r>
              <w:rPr>
                <w:rFonts w:ascii="Calibri" w:hAnsi="Calibri"/>
                <w:b w:val="0"/>
                <w:sz w:val="22"/>
              </w:rPr>
              <w:t>A. Metronidazole 500 mg 3x/hari oral</w:t>
            </w:r>
          </w:p>
          <w:p>
            <w:pPr>
              <w:spacing w:before="0" w:after="0"/>
            </w:pPr>
            <w:r>
              <w:rPr>
                <w:rFonts w:ascii="Calibri" w:hAnsi="Calibri"/>
                <w:b w:val="0"/>
                <w:sz w:val="22"/>
              </w:rPr>
              <w:t>B. Ciprofloxacin 500 mg 2x/hari oral</w:t>
            </w:r>
          </w:p>
          <w:p>
            <w:pPr>
              <w:spacing w:before="0" w:after="0"/>
            </w:pPr>
            <w:r>
              <w:rPr>
                <w:rFonts w:ascii="Calibri" w:hAnsi="Calibri"/>
                <w:b w:val="0"/>
                <w:sz w:val="22"/>
              </w:rPr>
              <w:t>C. Vancomycin 125 mg 4x/hari oral</w:t>
            </w:r>
          </w:p>
          <w:p>
            <w:pPr>
              <w:spacing w:before="0" w:after="0"/>
            </w:pPr>
            <w:r>
              <w:rPr>
                <w:rFonts w:ascii="Calibri" w:hAnsi="Calibri"/>
                <w:b w:val="0"/>
                <w:sz w:val="22"/>
              </w:rPr>
              <w:t>D. Azithromycin 500 mg 1x/hari oral</w:t>
            </w:r>
          </w:p>
          <w:p>
            <w:pPr>
              <w:spacing w:before="0" w:after="0"/>
            </w:pPr>
            <w:r>
              <w:rPr>
                <w:rFonts w:ascii="Calibri" w:hAnsi="Calibri"/>
                <w:b w:val="0"/>
                <w:sz w:val="22"/>
              </w:rPr>
              <w:t>E. Amoxicillin 500 mg 3x/hari oral</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Pembahasan: Pasien menunjukkan gejala CDI berat (demam, leukositosis, diare hebat). Vancomycin oral 125 mg 4 kali sehari adalah terapi lini pertama yang direkomendasikan untuk CDI berat. Metronidazole tidak dianjurkan untuk CDI berat. Antibiotik lain tidak efektif untuk CDI.</w:t>
            </w:r>
          </w:p>
        </w:tc>
      </w:tr>
      <w:tr>
        <w:tc>
          <w:tcPr>
            <w:tcW w:type="dxa" w:w="720"/>
            <w:vAlign w:val="top"/>
          </w:tcPr>
          <w:p>
            <w:pPr>
              <w:spacing w:before="0" w:after="0"/>
              <w:jc w:val="center"/>
            </w:pPr>
            <w:r>
              <w:rPr>
                <w:rFonts w:ascii="Calibri" w:hAnsi="Calibri"/>
                <w:b w:val="0"/>
                <w:sz w:val="22"/>
              </w:rPr>
              <w:t>8</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turis kembali dari India dengan diare cair berdarah, kram perut parah, dan demam 39°C. Hasil kultur tinja sedang menunggu, namun dokter menduga infeksi bakteri invasif. Antibiotik empiris yang paling tepat untuk kondisi ini adalah?</w:t>
            </w:r>
          </w:p>
          <w:p>
            <w:pPr>
              <w:spacing w:before="0" w:after="0"/>
            </w:pPr>
            <w:r>
              <w:rPr>
                <w:rFonts w:ascii="Calibri" w:hAnsi="Calibri"/>
                <w:b w:val="0"/>
                <w:sz w:val="22"/>
              </w:rPr>
              <w:t>A. Ciprofloxacin 500 mg 2x/hari selama 3 hari</w:t>
            </w:r>
          </w:p>
          <w:p>
            <w:pPr>
              <w:spacing w:before="0" w:after="0"/>
            </w:pPr>
            <w:r>
              <w:rPr>
                <w:rFonts w:ascii="Calibri" w:hAnsi="Calibri"/>
                <w:b w:val="0"/>
                <w:sz w:val="22"/>
              </w:rPr>
              <w:t>B. Rifaximin 200 mg 3x/hari selama 3 hari</w:t>
            </w:r>
          </w:p>
          <w:p>
            <w:pPr>
              <w:spacing w:before="0" w:after="0"/>
            </w:pPr>
            <w:r>
              <w:rPr>
                <w:rFonts w:ascii="Calibri" w:hAnsi="Calibri"/>
                <w:b w:val="0"/>
                <w:sz w:val="22"/>
              </w:rPr>
              <w:t>C. Azithromycin 500 mg/hari selama 3 hari</w:t>
            </w:r>
          </w:p>
          <w:p>
            <w:pPr>
              <w:spacing w:before="0" w:after="0"/>
            </w:pPr>
            <w:r>
              <w:rPr>
                <w:rFonts w:ascii="Calibri" w:hAnsi="Calibri"/>
                <w:b w:val="0"/>
                <w:sz w:val="22"/>
              </w:rPr>
              <w:t>D. Doxycycline 100 mg 2x/hari selama 7 hari</w:t>
            </w:r>
          </w:p>
          <w:p>
            <w:pPr>
              <w:spacing w:before="0" w:after="0"/>
            </w:pPr>
            <w:r>
              <w:rPr>
                <w:rFonts w:ascii="Calibri" w:hAnsi="Calibri"/>
                <w:b w:val="0"/>
                <w:sz w:val="22"/>
              </w:rPr>
              <w:t>E. Metronidazole 500 mg 3x/hari selama 7 hari</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Pembahasan: Diare berdarah disertai demam menunjukkan diare invasif. Pada traveler dari India, yang merupakan bagian dari Asia Selatan, prevalensi resistensi fluoroquinolone pada patogen enterik cukup tinggi. Oleh karena itu, Azithromycin direkomendasikan sebagai terapi empiris lini pertama untuk diare invasif pada konteks ini. Ciprofloxacin dapat digunakan, tetapi risiko resistensi perlu dipertimbangkan. Rifaximin tidak efektif untuk diare invasif. Metronidazole untuk infeksi parasit atau anaerob. Doxycycline bukan pilihan lini pertama untuk diare invasif bakteri.</w:t>
            </w:r>
          </w:p>
        </w:tc>
      </w:tr>
      <w:tr>
        <w:tc>
          <w:tcPr>
            <w:tcW w:type="dxa" w:w="720"/>
            <w:vAlign w:val="top"/>
          </w:tcPr>
          <w:p>
            <w:pPr>
              <w:spacing w:before="0" w:after="0"/>
              <w:jc w:val="center"/>
            </w:pPr>
            <w:r>
              <w:rPr>
                <w:rFonts w:ascii="Calibri" w:hAnsi="Calibri"/>
                <w:b w:val="0"/>
                <w:sz w:val="22"/>
              </w:rPr>
              <w:t>9</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pria usia 50 tahun didiagnosis artritis reumatoid (RA) 3 bulan lalu. Ia mengeluhkan nyeri dan bengkak pada sendi pergelangan tangan dan lutut secara simetris. Hasil pemeriksaan menunjukkan DAS28 4.8 dan positif RF. Pasien belum pernah mendapat terapi DMARD. Terapi awal yang paling tepat untuk pasien ini adalah?</w:t>
            </w:r>
          </w:p>
          <w:p>
            <w:pPr>
              <w:spacing w:before="0" w:after="0"/>
            </w:pPr>
            <w:r>
              <w:rPr>
                <w:rFonts w:ascii="Calibri" w:hAnsi="Calibri"/>
                <w:b w:val="0"/>
                <w:sz w:val="22"/>
              </w:rPr>
              <w:t>A. Methotrexate 15 mg/minggu + asam folat</w:t>
            </w:r>
          </w:p>
          <w:p>
            <w:pPr>
              <w:spacing w:before="0" w:after="0"/>
            </w:pPr>
            <w:r>
              <w:rPr>
                <w:rFonts w:ascii="Calibri" w:hAnsi="Calibri"/>
                <w:b w:val="0"/>
                <w:sz w:val="22"/>
              </w:rPr>
              <w:t>B. Prednison 10 mg/hari</w:t>
            </w:r>
          </w:p>
          <w:p>
            <w:pPr>
              <w:spacing w:before="0" w:after="0"/>
            </w:pPr>
            <w:r>
              <w:rPr>
                <w:rFonts w:ascii="Calibri" w:hAnsi="Calibri"/>
                <w:b w:val="0"/>
                <w:sz w:val="22"/>
              </w:rPr>
              <w:t>C. Sulfasalazine 500 mg/hari</w:t>
            </w:r>
          </w:p>
          <w:p>
            <w:pPr>
              <w:spacing w:before="0" w:after="0"/>
            </w:pPr>
            <w:r>
              <w:rPr>
                <w:rFonts w:ascii="Calibri" w:hAnsi="Calibri"/>
                <w:b w:val="0"/>
                <w:sz w:val="22"/>
              </w:rPr>
              <w:t>D. Adalimumab 40 mg/2 minggu</w:t>
            </w:r>
          </w:p>
          <w:p>
            <w:pPr>
              <w:spacing w:before="0" w:after="0"/>
            </w:pPr>
            <w:r>
              <w:rPr>
                <w:rFonts w:ascii="Calibri" w:hAnsi="Calibri"/>
                <w:b w:val="0"/>
                <w:sz w:val="22"/>
              </w:rPr>
              <w:t>E. Paracetamol 500 mg 3x sehari</w:t>
            </w:r>
          </w:p>
        </w:tc>
        <w:tc>
          <w:tcPr>
            <w:tcW w:type="dxa" w:w="3312"/>
            <w:vAlign w:val="top"/>
          </w:tcPr>
          <w:p>
            <w:pPr>
              <w:spacing w:before="0" w:after="0"/>
              <w:jc w:val="left"/>
            </w:pPr>
            <w:r>
              <w:rPr>
                <w:rFonts w:ascii="Calibri" w:hAnsi="Calibri"/>
                <w:b w:val="0"/>
                <w:sz w:val="22"/>
              </w:rPr>
              <w:t>Jawaban: A</w:t>
            </w:r>
          </w:p>
          <w:p>
            <w:pPr>
              <w:spacing w:before="0" w:after="0"/>
            </w:pPr>
            <w:r>
              <w:rPr>
                <w:rFonts w:ascii="Calibri" w:hAnsi="Calibri"/>
                <w:b w:val="0"/>
                <w:sz w:val="22"/>
              </w:rPr>
            </w:r>
          </w:p>
          <w:p>
            <w:pPr>
              <w:spacing w:before="0" w:after="0"/>
            </w:pPr>
            <w:r>
              <w:rPr>
                <w:rFonts w:ascii="Calibri" w:hAnsi="Calibri"/>
                <w:b w:val="0"/>
                <w:sz w:val="22"/>
              </w:rPr>
              <w:t>Pembahasan: Pasien memiliki RA dengan aktivitas penyakit sedang-tinggi (DAS28 4.8). Berdasarkan pedoman, methotrexate adalah pilihan terapi DMARD konvensional sintetik (csDMARD) lini pertama yang direkomendasikan untuk pasien RA dengan aktivitas penyakit sedang hingga tinggi yang belum pernah menerima DMARD. Asam folat diberikan bersama methotrexate untuk mengurangi efek samping gastrointestinal dan hepatotoksisitas.</w:t>
            </w:r>
          </w:p>
        </w:tc>
      </w:tr>
      <w:tr>
        <w:tc>
          <w:tcPr>
            <w:tcW w:type="dxa" w:w="720"/>
            <w:vAlign w:val="top"/>
          </w:tcPr>
          <w:p>
            <w:pPr>
              <w:spacing w:before="0" w:after="0"/>
              <w:jc w:val="center"/>
            </w:pPr>
            <w:r>
              <w:rPr>
                <w:rFonts w:ascii="Calibri" w:hAnsi="Calibri"/>
                <w:b w:val="0"/>
                <w:sz w:val="22"/>
              </w:rPr>
              <w:t>10</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pasien laki-laki berusia 50 tahun dengan riwayat HIV positif sedang menjalani regimen ARV yang terdiri dari Zidovudine (AZT), Lamivudine (3TC), dan Nevirapine (NVP) selama 3 bulan. Ia melaporkan merasa sangat lelah, nafsu makan menurun, dan urinnya berwarna gelap. Pemeriksaan fisik menunjukkan sklera ikterik. Hasil laboratorium menunjukkan peningkatan ALT 5x batas atas normal dan bilirubin total 3x batas atas normal. Obat ARV mana yang paling mungkin menyebabkan kondisi ini dan bagaimana penanganannya?</w:t>
            </w:r>
          </w:p>
          <w:p>
            <w:pPr>
              <w:spacing w:before="0" w:after="0"/>
            </w:pPr>
            <w:r>
              <w:rPr>
                <w:rFonts w:ascii="Calibri" w:hAnsi="Calibri"/>
                <w:b w:val="0"/>
                <w:sz w:val="22"/>
              </w:rPr>
              <w:t>A. Nevirapine; segera hentikan NVP dan substitusi dengan Dolutegravir (DTG)</w:t>
            </w:r>
          </w:p>
          <w:p>
            <w:pPr>
              <w:spacing w:before="0" w:after="0"/>
            </w:pPr>
            <w:r>
              <w:rPr>
                <w:rFonts w:ascii="Calibri" w:hAnsi="Calibri"/>
                <w:b w:val="0"/>
                <w:sz w:val="22"/>
              </w:rPr>
              <w:t>B. Zidovudine; hentikan AZT dan berikan suplemen zat besi</w:t>
            </w:r>
          </w:p>
          <w:p>
            <w:pPr>
              <w:spacing w:before="0" w:after="0"/>
            </w:pPr>
            <w:r>
              <w:rPr>
                <w:rFonts w:ascii="Calibri" w:hAnsi="Calibri"/>
                <w:b w:val="0"/>
                <w:sz w:val="22"/>
              </w:rPr>
              <w:t>C. Lamivudine; lanjutkan 3TC dengan pemantauan fungsi hati lebih sering</w:t>
            </w:r>
          </w:p>
          <w:p>
            <w:pPr>
              <w:spacing w:before="0" w:after="0"/>
            </w:pPr>
            <w:r>
              <w:rPr>
                <w:rFonts w:ascii="Calibri" w:hAnsi="Calibri"/>
                <w:b w:val="0"/>
                <w:sz w:val="22"/>
              </w:rPr>
              <w:t>D. Nevirapine; kurangi dosis NVP dan berikan obat anti-mual</w:t>
            </w:r>
          </w:p>
          <w:p>
            <w:pPr>
              <w:spacing w:before="0" w:after="0"/>
            </w:pPr>
            <w:r>
              <w:rPr>
                <w:rFonts w:ascii="Calibri" w:hAnsi="Calibri"/>
                <w:b w:val="0"/>
                <w:sz w:val="22"/>
              </w:rPr>
              <w:t>E. Zidovudine; ganti AZT dengan Tenofovir (TDF)</w:t>
            </w:r>
          </w:p>
        </w:tc>
        <w:tc>
          <w:tcPr>
            <w:tcW w:type="dxa" w:w="3312"/>
            <w:vAlign w:val="top"/>
          </w:tcPr>
          <w:p>
            <w:pPr>
              <w:spacing w:before="0" w:after="0"/>
              <w:jc w:val="left"/>
            </w:pPr>
            <w:r>
              <w:rPr>
                <w:rFonts w:ascii="Calibri" w:hAnsi="Calibri"/>
                <w:b w:val="0"/>
                <w:sz w:val="22"/>
              </w:rPr>
              <w:t>Jawaban: A</w:t>
            </w:r>
          </w:p>
          <w:p>
            <w:pPr>
              <w:spacing w:before="0" w:after="0"/>
            </w:pPr>
            <w:r>
              <w:rPr>
                <w:rFonts w:ascii="Calibri" w:hAnsi="Calibri"/>
                <w:b w:val="0"/>
                <w:sz w:val="22"/>
              </w:rPr>
            </w:r>
          </w:p>
          <w:p>
            <w:pPr>
              <w:spacing w:before="0" w:after="0"/>
            </w:pPr>
            <w:r>
              <w:rPr>
                <w:rFonts w:ascii="Calibri" w:hAnsi="Calibri"/>
                <w:b w:val="0"/>
                <w:sz w:val="22"/>
              </w:rPr>
              <w:t>Pembahasan: Gejala kelelahan, nafsu makan menurun, urin gelap, sklera ikterik, serta peningkatan ALT dan bilirubin total sangat mengindikasikan hepatotoksisitas. Nevirapine (NVP) dikenal sebagai ARV yang dapat menyebabkan hepatotoksisitas berat. Sesuai pedoman, NVP harus segera dihentikan dan diganti dengan ARV lain seperti Dolutegravir (DTG) atau Efavirenz (EFV).</w:t>
            </w:r>
          </w:p>
        </w:tc>
      </w:tr>
      <w:tr>
        <w:tc>
          <w:tcPr>
            <w:tcW w:type="dxa" w:w="720"/>
            <w:vAlign w:val="top"/>
          </w:tcPr>
          <w:p>
            <w:pPr>
              <w:spacing w:before="0" w:after="0"/>
              <w:jc w:val="center"/>
            </w:pPr>
            <w:r>
              <w:rPr>
                <w:rFonts w:ascii="Calibri" w:hAnsi="Calibri"/>
                <w:b w:val="0"/>
                <w:sz w:val="22"/>
              </w:rPr>
              <w:t>11</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laki-laki usia 58 tahun datang dengan keluhan mudah lelah. Pemeriksaan menunjukkan HBsAg positif sejak 8 bulan lalu, HBeAg positif, HBV DNA tinggi, ALT meningkat, dan tidak ada sirosis. Manakah terapi awal yang paling tepat?</w:t>
            </w:r>
          </w:p>
          <w:p>
            <w:pPr>
              <w:spacing w:before="0" w:after="0"/>
            </w:pPr>
            <w:r>
              <w:rPr>
                <w:rFonts w:ascii="Calibri" w:hAnsi="Calibri"/>
                <w:b w:val="0"/>
                <w:sz w:val="22"/>
              </w:rPr>
              <w:t>A. Lamivudine oral</w:t>
            </w:r>
          </w:p>
          <w:p>
            <w:pPr>
              <w:spacing w:before="0" w:after="0"/>
            </w:pPr>
            <w:r>
              <w:rPr>
                <w:rFonts w:ascii="Calibri" w:hAnsi="Calibri"/>
                <w:b w:val="0"/>
                <w:sz w:val="22"/>
              </w:rPr>
              <w:t>B. Interferon alfa selama 12 minggu</w:t>
            </w:r>
          </w:p>
          <w:p>
            <w:pPr>
              <w:spacing w:before="0" w:after="0"/>
            </w:pPr>
            <w:r>
              <w:rPr>
                <w:rFonts w:ascii="Calibri" w:hAnsi="Calibri"/>
                <w:b w:val="0"/>
                <w:sz w:val="22"/>
              </w:rPr>
              <w:t>C. Tenofovir disoproxil fumarate oral</w:t>
            </w:r>
          </w:p>
          <w:p>
            <w:pPr>
              <w:spacing w:before="0" w:after="0"/>
            </w:pPr>
            <w:r>
              <w:rPr>
                <w:rFonts w:ascii="Calibri" w:hAnsi="Calibri"/>
                <w:b w:val="0"/>
                <w:sz w:val="22"/>
              </w:rPr>
              <w:t>D. Ribavirin oral</w:t>
            </w:r>
          </w:p>
          <w:p>
            <w:pPr>
              <w:spacing w:before="0" w:after="0"/>
            </w:pPr>
            <w:r>
              <w:rPr>
                <w:rFonts w:ascii="Calibri" w:hAnsi="Calibri"/>
                <w:b w:val="0"/>
                <w:sz w:val="22"/>
              </w:rPr>
              <w:t>E. Sofosbuvir + velpatasvir</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Pembahasan: Pasien ini mengarah ke hepatitis B kronik aktif, karena HBsAg positif &gt;6 bulan, HBV DNA tinggi, HBeAg positif, dan ALT meningkat. Pada hepatitis B kronik yang membutuhkan terapi, pilihan awal yang direkomendasikan adalah antivirus dengan potensi kuat dan barrier resistensi tinggi, seperti tenofovir disoproxil fumarate/TDF, tenofovir alafenamide/TAF, atau entecavir. AASLD mencantumkan tenofovir dan entecavir sebagai pilihan terapi utama hepatitis B kronik</w:t>
            </w:r>
          </w:p>
        </w:tc>
      </w:tr>
      <w:tr>
        <w:tc>
          <w:tcPr>
            <w:tcW w:type="dxa" w:w="720"/>
            <w:vAlign w:val="top"/>
          </w:tcPr>
          <w:p>
            <w:pPr>
              <w:spacing w:before="0" w:after="0"/>
              <w:jc w:val="center"/>
            </w:pPr>
            <w:r>
              <w:rPr>
                <w:rFonts w:ascii="Calibri" w:hAnsi="Calibri"/>
                <w:b w:val="0"/>
                <w:sz w:val="22"/>
              </w:rPr>
              <w:t>12</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pasien berusia 68 tahun dengan riwayat HIV dan hipertensi terkontrol, sedang menjalani terapi antiretroviral yang meliputi tenofovir disoproxil fumarate (TDF), lamivudin, dan efavirenz. Setelah 1 tahun, pasien mengeluh kelemahan otot dan hasil laboratorium menunjukkan hipofosfatemia, glikosuria, dan proteinuria tubular, mengindikasikan sindrom Fanconi. Obat manakah yang paling mungkin menyebabkan kondisi ini?</w:t>
            </w:r>
          </w:p>
          <w:p>
            <w:pPr>
              <w:spacing w:before="0" w:after="0"/>
            </w:pPr>
            <w:r>
              <w:rPr>
                <w:rFonts w:ascii="Calibri" w:hAnsi="Calibri"/>
                <w:b w:val="0"/>
                <w:sz w:val="22"/>
              </w:rPr>
              <w:t>A. Tenofovir disoproxil fumarate</w:t>
            </w:r>
          </w:p>
          <w:p>
            <w:pPr>
              <w:spacing w:before="0" w:after="0"/>
            </w:pPr>
            <w:r>
              <w:rPr>
                <w:rFonts w:ascii="Calibri" w:hAnsi="Calibri"/>
                <w:b w:val="0"/>
                <w:sz w:val="22"/>
              </w:rPr>
              <w:t>B. Lamivudin</w:t>
            </w:r>
          </w:p>
          <w:p>
            <w:pPr>
              <w:spacing w:before="0" w:after="0"/>
            </w:pPr>
            <w:r>
              <w:rPr>
                <w:rFonts w:ascii="Calibri" w:hAnsi="Calibri"/>
                <w:b w:val="0"/>
                <w:sz w:val="22"/>
              </w:rPr>
              <w:t>C. Efavirenz</w:t>
            </w:r>
          </w:p>
          <w:p>
            <w:pPr>
              <w:spacing w:before="0" w:after="0"/>
            </w:pPr>
            <w:r>
              <w:rPr>
                <w:rFonts w:ascii="Calibri" w:hAnsi="Calibri"/>
                <w:b w:val="0"/>
                <w:sz w:val="22"/>
              </w:rPr>
              <w:t>D. Obat antihipertensi pasien</w:t>
            </w:r>
          </w:p>
          <w:p>
            <w:pPr>
              <w:spacing w:before="0" w:after="0"/>
            </w:pPr>
            <w:r>
              <w:rPr>
                <w:rFonts w:ascii="Calibri" w:hAnsi="Calibri"/>
                <w:b w:val="0"/>
                <w:sz w:val="22"/>
              </w:rPr>
              <w:t>E. Kombinasi lamivudin dan efavirenz</w:t>
            </w:r>
          </w:p>
        </w:tc>
        <w:tc>
          <w:tcPr>
            <w:tcW w:type="dxa" w:w="3312"/>
            <w:vAlign w:val="top"/>
          </w:tcPr>
          <w:p>
            <w:pPr>
              <w:spacing w:before="0" w:after="0"/>
              <w:jc w:val="left"/>
            </w:pPr>
            <w:r>
              <w:rPr>
                <w:rFonts w:ascii="Calibri" w:hAnsi="Calibri"/>
                <w:b w:val="0"/>
                <w:sz w:val="22"/>
              </w:rPr>
              <w:t>Jawaban: A</w:t>
            </w:r>
          </w:p>
          <w:p>
            <w:pPr>
              <w:spacing w:before="0" w:after="0"/>
            </w:pPr>
            <w:r>
              <w:rPr>
                <w:rFonts w:ascii="Calibri" w:hAnsi="Calibri"/>
                <w:b w:val="0"/>
                <w:sz w:val="22"/>
              </w:rPr>
            </w:r>
          </w:p>
          <w:p>
            <w:pPr>
              <w:spacing w:before="0" w:after="0"/>
            </w:pPr>
            <w:r>
              <w:rPr>
                <w:rFonts w:ascii="Calibri" w:hAnsi="Calibri"/>
                <w:b w:val="0"/>
                <w:sz w:val="22"/>
              </w:rPr>
              <w:t>Pembahasan: Tenofovir disoproxil fumarate (TDF) adalah agen yang diketahui dapat menyebabkan nefrotoksisitas, termasuk sindrom Fanconi, yang ditandai dengan gangguan tubulus proksimal seperti hipofosfatemia, glikosuria, dan proteinuria tubular. Risiko ini meningkat pada pasien usia lanjut. Lamivudin dan efavirenz tidak secara langsung terkait dengan sindrom Fanconi.</w:t>
            </w:r>
          </w:p>
        </w:tc>
      </w:tr>
      <w:tr>
        <w:tc>
          <w:tcPr>
            <w:tcW w:type="dxa" w:w="720"/>
            <w:vAlign w:val="top"/>
          </w:tcPr>
          <w:p>
            <w:pPr>
              <w:spacing w:before="0" w:after="0"/>
              <w:jc w:val="center"/>
            </w:pPr>
            <w:r>
              <w:rPr>
                <w:rFonts w:ascii="Calibri" w:hAnsi="Calibri"/>
                <w:b w:val="0"/>
                <w:sz w:val="22"/>
              </w:rPr>
              <w:t>13</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wanita berusia 35 tahun datang dengan keluhan ruam melingkar yang gatal dan bersisik di lengan kanannya, yang telah menyebar selama seminggu. Pemeriksaan fisik menunjukkan lesi eritematosa dengan batas meninggi dan bagian tengah yang jernih. Dokter mendiagnosisnya dengan tinea corporis. Agen antijamur topikal manakah yang akan menjadi pilihan terapi lini pertama yang paling efektif untuk pasien ini?</w:t>
            </w:r>
          </w:p>
          <w:p>
            <w:pPr>
              <w:spacing w:before="0" w:after="0"/>
            </w:pPr>
            <w:r>
              <w:rPr>
                <w:rFonts w:ascii="Calibri" w:hAnsi="Calibri"/>
                <w:b w:val="0"/>
                <w:sz w:val="22"/>
              </w:rPr>
              <w:t>A. Krim clotrimazole</w:t>
            </w:r>
          </w:p>
          <w:p>
            <w:pPr>
              <w:spacing w:before="0" w:after="0"/>
            </w:pPr>
            <w:r>
              <w:rPr>
                <w:rFonts w:ascii="Calibri" w:hAnsi="Calibri"/>
                <w:b w:val="0"/>
                <w:sz w:val="22"/>
              </w:rPr>
              <w:t>B. Krim mikonazol</w:t>
            </w:r>
          </w:p>
          <w:p>
            <w:pPr>
              <w:spacing w:before="0" w:after="0"/>
            </w:pPr>
            <w:r>
              <w:rPr>
                <w:rFonts w:ascii="Calibri" w:hAnsi="Calibri"/>
                <w:b w:val="0"/>
                <w:sz w:val="22"/>
              </w:rPr>
              <w:t>C. Krim butenafin</w:t>
            </w:r>
          </w:p>
          <w:p>
            <w:pPr>
              <w:spacing w:before="0" w:after="0"/>
            </w:pPr>
            <w:r>
              <w:rPr>
                <w:rFonts w:ascii="Calibri" w:hAnsi="Calibri"/>
                <w:b w:val="0"/>
                <w:sz w:val="22"/>
              </w:rPr>
              <w:t>D. Krim ketokonazol</w:t>
            </w:r>
          </w:p>
          <w:p>
            <w:pPr>
              <w:spacing w:before="0" w:after="0"/>
            </w:pPr>
            <w:r>
              <w:rPr>
                <w:rFonts w:ascii="Calibri" w:hAnsi="Calibri"/>
                <w:b w:val="0"/>
                <w:sz w:val="22"/>
              </w:rPr>
              <w:t>E. Krim nistatin</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Pembahasan: Tinea corporis adalah infeksi dermatofit pada kulit. Antijamur topikal golongan allylamine seperti butenafin (atau terbinafine) umumnya dianggap lebih efektif daripada golongan azol (clotrimazole, miconazole, ketoconazole) untuk infeksi tinea karena aksi fungisidalnya yang lebih kuat terhadap dermatofita. Nistatin terutama digunakan untuk infeksi Candida, bukan dermatofita.</w:t>
            </w:r>
          </w:p>
        </w:tc>
      </w:tr>
      <w:tr>
        <w:tc>
          <w:tcPr>
            <w:tcW w:type="dxa" w:w="720"/>
            <w:vAlign w:val="top"/>
          </w:tcPr>
          <w:p>
            <w:pPr>
              <w:spacing w:before="0" w:after="0"/>
              <w:jc w:val="center"/>
            </w:pPr>
            <w:r>
              <w:rPr>
                <w:rFonts w:ascii="Calibri" w:hAnsi="Calibri"/>
                <w:b w:val="0"/>
                <w:sz w:val="22"/>
              </w:rPr>
              <w:t>14</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perawat di panti asuhan melaporkan beberapa anak berusia 8 tahun mengalami gatal-gatal yang intens, terutama di malam hari, dengan lesi kulit berupa papula dan vesikel kecil di area lipatan siku, ketiak, dan sekitar pusar. Setelah konsultasi dengan dokter, diagnosis skabies ditegakkan. Obat manakah yang paling sesuai untuk pengobatan lini pertama skabies pada anak-anak di panti asuhan ini?</w:t>
            </w:r>
          </w:p>
          <w:p>
            <w:pPr>
              <w:spacing w:before="0" w:after="0"/>
            </w:pPr>
            <w:r>
              <w:rPr>
                <w:rFonts w:ascii="Calibri" w:hAnsi="Calibri"/>
                <w:b w:val="0"/>
                <w:sz w:val="22"/>
              </w:rPr>
              <w:t>A. Permethrin 5% cream</w:t>
            </w:r>
          </w:p>
          <w:p>
            <w:pPr>
              <w:spacing w:before="0" w:after="0"/>
            </w:pPr>
            <w:r>
              <w:rPr>
                <w:rFonts w:ascii="Calibri" w:hAnsi="Calibri"/>
                <w:b w:val="0"/>
                <w:sz w:val="22"/>
              </w:rPr>
              <w:t>B. Malathion 0.5% lotion</w:t>
            </w:r>
          </w:p>
          <w:p>
            <w:pPr>
              <w:spacing w:before="0" w:after="0"/>
            </w:pPr>
            <w:r>
              <w:rPr>
                <w:rFonts w:ascii="Calibri" w:hAnsi="Calibri"/>
                <w:b w:val="0"/>
                <w:sz w:val="22"/>
              </w:rPr>
              <w:t>C. Sulfur 6% ointment</w:t>
            </w:r>
          </w:p>
          <w:p>
            <w:pPr>
              <w:spacing w:before="0" w:after="0"/>
            </w:pPr>
            <w:r>
              <w:rPr>
                <w:rFonts w:ascii="Calibri" w:hAnsi="Calibri"/>
                <w:b w:val="0"/>
                <w:sz w:val="22"/>
              </w:rPr>
              <w:t>D. Permethrin 1% lotion</w:t>
            </w:r>
          </w:p>
          <w:p>
            <w:pPr>
              <w:spacing w:before="0" w:after="0"/>
            </w:pPr>
            <w:r>
              <w:rPr>
                <w:rFonts w:ascii="Calibri" w:hAnsi="Calibri"/>
                <w:b w:val="0"/>
                <w:sz w:val="22"/>
              </w:rPr>
              <w:t>E. Oral antihistamin</w:t>
            </w:r>
          </w:p>
        </w:tc>
        <w:tc>
          <w:tcPr>
            <w:tcW w:type="dxa" w:w="3312"/>
            <w:vAlign w:val="top"/>
          </w:tcPr>
          <w:p>
            <w:pPr>
              <w:spacing w:before="0" w:after="0"/>
              <w:jc w:val="left"/>
            </w:pPr>
            <w:r>
              <w:rPr>
                <w:rFonts w:ascii="Calibri" w:hAnsi="Calibri"/>
                <w:b w:val="0"/>
                <w:sz w:val="22"/>
              </w:rPr>
              <w:t>Jawaban: A</w:t>
            </w:r>
          </w:p>
          <w:p>
            <w:pPr>
              <w:spacing w:before="0" w:after="0"/>
            </w:pPr>
            <w:r>
              <w:rPr>
                <w:rFonts w:ascii="Calibri" w:hAnsi="Calibri"/>
                <w:b w:val="0"/>
                <w:sz w:val="22"/>
              </w:rPr>
            </w:r>
          </w:p>
          <w:p>
            <w:pPr>
              <w:spacing w:before="0" w:after="0"/>
            </w:pPr>
            <w:r>
              <w:rPr>
                <w:rFonts w:ascii="Calibri" w:hAnsi="Calibri"/>
                <w:b w:val="0"/>
                <w:sz w:val="22"/>
              </w:rPr>
              <w:t>Pembahasan: Permethrin 5% cream adalah agen skabisida topikal yang paling direkomendasikan sebagai lini pertama untuk pengobatan skabies pada anak-anak berusia 2 bulan ke atas, termasuk anak usia sekolah. Efektivitasnya tinggi dalam membunuh tungau dan telurnya, serta memiliki profil keamanan yang baik.</w:t>
            </w:r>
          </w:p>
        </w:tc>
      </w:tr>
      <w:tr>
        <w:tc>
          <w:tcPr>
            <w:tcW w:type="dxa" w:w="720"/>
            <w:vAlign w:val="top"/>
          </w:tcPr>
          <w:p>
            <w:pPr>
              <w:spacing w:before="0" w:after="0"/>
              <w:jc w:val="center"/>
            </w:pPr>
            <w:r>
              <w:rPr>
                <w:rFonts w:ascii="Calibri" w:hAnsi="Calibri"/>
                <w:b w:val="0"/>
                <w:sz w:val="22"/>
              </w:rPr>
              <w:t>15</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wanita hamil trimester kedua, 28 tahun, datang dengan keluhan demam intermiten, lemas, dan ikterus. Ia baru saja kembali dari perjalanan ke Papua. Pemeriksaan darah menunjukkan infeksi Plasmodium falciparum dengan parasitemia &gt;5% dan kadar bilirubin total yang meningkat signifikan. Dokter mendiagnosis malaria berat dengan komplikasi hepatik. Terapi antimalaria parenteral apa yang paling direkomendasikan untuk pasien ini?</w:t>
            </w:r>
          </w:p>
          <w:p>
            <w:pPr>
              <w:spacing w:before="0" w:after="0"/>
            </w:pPr>
            <w:r>
              <w:rPr>
                <w:rFonts w:ascii="Calibri" w:hAnsi="Calibri"/>
                <w:b w:val="0"/>
                <w:sz w:val="22"/>
              </w:rPr>
              <w:t>A. Klorokuin oral</w:t>
            </w:r>
          </w:p>
          <w:p>
            <w:pPr>
              <w:spacing w:before="0" w:after="0"/>
            </w:pPr>
            <w:r>
              <w:rPr>
                <w:rFonts w:ascii="Calibri" w:hAnsi="Calibri"/>
                <w:b w:val="0"/>
                <w:sz w:val="22"/>
              </w:rPr>
              <w:t>B. Kuinin sulfat oral</w:t>
            </w:r>
          </w:p>
          <w:p>
            <w:pPr>
              <w:spacing w:before="0" w:after="0"/>
            </w:pPr>
            <w:r>
              <w:rPr>
                <w:rFonts w:ascii="Calibri" w:hAnsi="Calibri"/>
                <w:b w:val="0"/>
                <w:sz w:val="22"/>
              </w:rPr>
              <w:t>C. Artesunat intravena</w:t>
            </w:r>
          </w:p>
          <w:p>
            <w:pPr>
              <w:spacing w:before="0" w:after="0"/>
            </w:pPr>
            <w:r>
              <w:rPr>
                <w:rFonts w:ascii="Calibri" w:hAnsi="Calibri"/>
                <w:b w:val="0"/>
                <w:sz w:val="22"/>
              </w:rPr>
              <w:t>D. Doksisiklin intravena</w:t>
            </w:r>
          </w:p>
          <w:p>
            <w:pPr>
              <w:spacing w:before="0" w:after="0"/>
            </w:pPr>
            <w:r>
              <w:rPr>
                <w:rFonts w:ascii="Calibri" w:hAnsi="Calibri"/>
                <w:b w:val="0"/>
                <w:sz w:val="22"/>
              </w:rPr>
              <w:t>E. Meflokuin oral</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Pembahasan: Malaria berat pada ibu hamil, termasuk dengan komplikasi hepatik, merupakan kondisi gawat darurat yang memerlukan penanganan segera. Artesunat intravena adalah pilihan terapi antimalaria parenteral yang direkomendasikan oleh WHO untuk malaria berat pada semua kelompok pasien, termasuk wanita hamil, karena efikasi dan keamanannya yang terbukti.</w:t>
            </w:r>
          </w:p>
        </w:tc>
      </w:tr>
      <w:tr>
        <w:tc>
          <w:tcPr>
            <w:tcW w:type="dxa" w:w="720"/>
            <w:vAlign w:val="top"/>
          </w:tcPr>
          <w:p>
            <w:pPr>
              <w:spacing w:before="0" w:after="0"/>
              <w:jc w:val="center"/>
            </w:pPr>
            <w:r>
              <w:rPr>
                <w:rFonts w:ascii="Calibri" w:hAnsi="Calibri"/>
                <w:b w:val="0"/>
                <w:sz w:val="22"/>
              </w:rPr>
              <w:t>16</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pria berusia 65 tahun didiagnosis dengan glaukoma sudut terbuka primer. Tekanan intraokular (TIO) tercatat 26 mmHg. Pasien memiliki riwayat penyakit paru obstruktif kronis (PPOK) sedang. Apa pilihan terapi awal yang paling tepat untuk pasien ini?</w:t>
            </w:r>
          </w:p>
          <w:p>
            <w:pPr>
              <w:spacing w:before="0" w:after="0"/>
            </w:pPr>
            <w:r>
              <w:rPr>
                <w:rFonts w:ascii="Calibri" w:hAnsi="Calibri"/>
                <w:b w:val="0"/>
                <w:sz w:val="22"/>
              </w:rPr>
              <w:t>A. Timolol</w:t>
            </w:r>
          </w:p>
          <w:p>
            <w:pPr>
              <w:spacing w:before="0" w:after="0"/>
            </w:pPr>
            <w:r>
              <w:rPr>
                <w:rFonts w:ascii="Calibri" w:hAnsi="Calibri"/>
                <w:b w:val="0"/>
                <w:sz w:val="22"/>
              </w:rPr>
              <w:t>B. Latanoprost</w:t>
            </w:r>
          </w:p>
          <w:p>
            <w:pPr>
              <w:spacing w:before="0" w:after="0"/>
            </w:pPr>
            <w:r>
              <w:rPr>
                <w:rFonts w:ascii="Calibri" w:hAnsi="Calibri"/>
                <w:b w:val="0"/>
                <w:sz w:val="22"/>
              </w:rPr>
              <w:t>C. Brimonidine</w:t>
            </w:r>
          </w:p>
          <w:p>
            <w:pPr>
              <w:spacing w:before="0" w:after="0"/>
            </w:pPr>
            <w:r>
              <w:rPr>
                <w:rFonts w:ascii="Calibri" w:hAnsi="Calibri"/>
                <w:b w:val="0"/>
                <w:sz w:val="22"/>
              </w:rPr>
              <w:t>D. Acetazolamide</w:t>
            </w:r>
          </w:p>
          <w:p>
            <w:pPr>
              <w:spacing w:before="0" w:after="0"/>
            </w:pPr>
            <w:r>
              <w:rPr>
                <w:rFonts w:ascii="Calibri" w:hAnsi="Calibri"/>
                <w:b w:val="0"/>
                <w:sz w:val="22"/>
              </w:rPr>
              <w:t>E. Levobunolol</w:t>
            </w:r>
          </w:p>
        </w:tc>
        <w:tc>
          <w:tcPr>
            <w:tcW w:type="dxa" w:w="3312"/>
            <w:vAlign w:val="top"/>
          </w:tcPr>
          <w:p>
            <w:pPr>
              <w:spacing w:before="0" w:after="0"/>
              <w:jc w:val="left"/>
            </w:pPr>
            <w:r>
              <w:rPr>
                <w:rFonts w:ascii="Calibri" w:hAnsi="Calibri"/>
                <w:b w:val="0"/>
                <w:sz w:val="22"/>
              </w:rPr>
              <w:t>Jawaban: B</w:t>
            </w:r>
          </w:p>
          <w:p>
            <w:pPr>
              <w:spacing w:before="0" w:after="0"/>
            </w:pPr>
            <w:r>
              <w:rPr>
                <w:rFonts w:ascii="Calibri" w:hAnsi="Calibri"/>
                <w:b w:val="0"/>
                <w:sz w:val="22"/>
              </w:rPr>
            </w:r>
          </w:p>
          <w:p>
            <w:pPr>
              <w:spacing w:before="0" w:after="0"/>
            </w:pPr>
            <w:r>
              <w:rPr>
                <w:rFonts w:ascii="Calibri" w:hAnsi="Calibri"/>
                <w:b w:val="0"/>
                <w:sz w:val="22"/>
              </w:rPr>
              <w:t>Pembahasan: Prostaglandin analogue (PGA) seperti latanoprost adalah terapi lini pertama yang direkomendasikan untuk glaukoma sudut terbuka primer karena efektivitasnya dalam menurunkan TIO, dosis sekali sehari, dan profil efek samping sistemik yang rendah. Beta-blocker topikal seperti timolol dan levobunolol dikontraindikasikan pada pasien dengan PPOK atau asma karena risiko bronkospasme melalui penyerapan sistemik.</w:t>
            </w:r>
          </w:p>
        </w:tc>
      </w:tr>
      <w:tr>
        <w:tc>
          <w:tcPr>
            <w:tcW w:type="dxa" w:w="720"/>
            <w:vAlign w:val="top"/>
          </w:tcPr>
          <w:p>
            <w:pPr>
              <w:spacing w:before="0" w:after="0"/>
              <w:jc w:val="center"/>
            </w:pPr>
            <w:r>
              <w:rPr>
                <w:rFonts w:ascii="Calibri" w:hAnsi="Calibri"/>
                <w:b w:val="0"/>
                <w:sz w:val="22"/>
              </w:rPr>
              <w:t>17</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wanita hamil 28 tahun pada trimester pertama didiagnosis dengan glaukoma sudut terbuka primer. Tekanan intraokular (TIO) pasien adalah 26 mmHg. Dokter mata merekomendasikan terapi topikal untuk mengontrol TIO. Obat mana yang paling aman untuk diresepkan pada tahap kehamilan ini?</w:t>
            </w:r>
          </w:p>
          <w:p>
            <w:pPr>
              <w:spacing w:before="0" w:after="0"/>
            </w:pPr>
            <w:r>
              <w:rPr>
                <w:rFonts w:ascii="Calibri" w:hAnsi="Calibri"/>
                <w:b w:val="0"/>
                <w:sz w:val="22"/>
              </w:rPr>
              <w:t>A. Travoprost</w:t>
            </w:r>
          </w:p>
          <w:p>
            <w:pPr>
              <w:spacing w:before="0" w:after="0"/>
            </w:pPr>
            <w:r>
              <w:rPr>
                <w:rFonts w:ascii="Calibri" w:hAnsi="Calibri"/>
                <w:b w:val="0"/>
                <w:sz w:val="22"/>
              </w:rPr>
              <w:t>B. Betaxolol</w:t>
            </w:r>
          </w:p>
          <w:p>
            <w:pPr>
              <w:spacing w:before="0" w:after="0"/>
            </w:pPr>
            <w:r>
              <w:rPr>
                <w:rFonts w:ascii="Calibri" w:hAnsi="Calibri"/>
                <w:b w:val="0"/>
                <w:sz w:val="22"/>
              </w:rPr>
              <w:t>C. Brimonidine</w:t>
            </w:r>
          </w:p>
          <w:p>
            <w:pPr>
              <w:spacing w:before="0" w:after="0"/>
            </w:pPr>
            <w:r>
              <w:rPr>
                <w:rFonts w:ascii="Calibri" w:hAnsi="Calibri"/>
                <w:b w:val="0"/>
                <w:sz w:val="22"/>
              </w:rPr>
              <w:t>D. Bimatoprost</w:t>
            </w:r>
          </w:p>
          <w:p>
            <w:pPr>
              <w:spacing w:before="0" w:after="0"/>
            </w:pPr>
            <w:r>
              <w:rPr>
                <w:rFonts w:ascii="Calibri" w:hAnsi="Calibri"/>
                <w:b w:val="0"/>
                <w:sz w:val="22"/>
              </w:rPr>
              <w:t>E. Metipranolol</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Pembahasan: Brimonidine adalah agonis alfa-2 adrenergik yang umumnya dianggap sebagai pilihan paling aman untuk pengobatan glaukoma pada wanita hamil karena klasifikasinya sebagai kategori kehamilan B oleh FDA (sebelum sistem baru). Obat-obatan lain seperti analog prostaglandin (Travoprost, Bimatoprost) dan beta-blocker (Betaxolol, Metipranolol) umumnya diklasifikasikan sebagai kategori C, menunjukkan potensi risiko yang lebih tinggi bagi janin.</w:t>
            </w:r>
          </w:p>
        </w:tc>
      </w:tr>
      <w:tr>
        <w:tc>
          <w:tcPr>
            <w:tcW w:type="dxa" w:w="720"/>
            <w:vAlign w:val="top"/>
          </w:tcPr>
          <w:p>
            <w:pPr>
              <w:spacing w:before="0" w:after="0"/>
              <w:jc w:val="center"/>
            </w:pPr>
            <w:r>
              <w:rPr>
                <w:rFonts w:ascii="Calibri" w:hAnsi="Calibri"/>
                <w:b w:val="0"/>
                <w:sz w:val="22"/>
              </w:rPr>
              <w:t>18</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Tn. S, 60 tahun, penderita CKD stadium 3 (GFR 45 mL/menit/1.73m2) dengan hiperurisemia asimtomatik (kadar asam urat 8.8 mg/dL). Dokter ingin memulai terapi penurun asam urat untuk mencegah komplikasi lebih lanjut. Obat apa yang paling tepat direkomendasikan tanpa penyesuaian dosis awal untuk kondisi ginjalnya?</w:t>
            </w:r>
          </w:p>
          <w:p>
            <w:pPr>
              <w:spacing w:before="0" w:after="0"/>
            </w:pPr>
            <w:r>
              <w:rPr>
                <w:rFonts w:ascii="Calibri" w:hAnsi="Calibri"/>
                <w:b w:val="0"/>
                <w:sz w:val="22"/>
              </w:rPr>
              <w:t>A. Allopurinol 100 mg/hari</w:t>
            </w:r>
          </w:p>
          <w:p>
            <w:pPr>
              <w:spacing w:before="0" w:after="0"/>
            </w:pPr>
            <w:r>
              <w:rPr>
                <w:rFonts w:ascii="Calibri" w:hAnsi="Calibri"/>
                <w:b w:val="0"/>
                <w:sz w:val="22"/>
              </w:rPr>
              <w:t>B. Probenesid 2 gram/hari</w:t>
            </w:r>
          </w:p>
          <w:p>
            <w:pPr>
              <w:spacing w:before="0" w:after="0"/>
            </w:pPr>
            <w:r>
              <w:rPr>
                <w:rFonts w:ascii="Calibri" w:hAnsi="Calibri"/>
                <w:b w:val="0"/>
                <w:sz w:val="22"/>
              </w:rPr>
              <w:t>C. Febuxostat 40 mg/hari</w:t>
            </w:r>
          </w:p>
          <w:p>
            <w:pPr>
              <w:spacing w:before="0" w:after="0"/>
            </w:pPr>
            <w:r>
              <w:rPr>
                <w:rFonts w:ascii="Calibri" w:hAnsi="Calibri"/>
                <w:b w:val="0"/>
                <w:sz w:val="22"/>
              </w:rPr>
              <w:t>D. Kolkisin</w:t>
            </w:r>
          </w:p>
          <w:p>
            <w:pPr>
              <w:spacing w:before="0" w:after="0"/>
            </w:pPr>
            <w:r>
              <w:rPr>
                <w:rFonts w:ascii="Calibri" w:hAnsi="Calibri"/>
                <w:b w:val="0"/>
                <w:sz w:val="22"/>
              </w:rPr>
              <w:t>E. Ibuprofen</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Pembahasan: Febuxostat adalah penghambat xantin oksidase yang dapat dimulai pada dosis 40 mg/hari tanpa penyesuaian dosis pada pasien dengan gangguan ginjal ringan hingga sedang (GFR 30-89 mL/menit). Allopurinol memerlukan penyesuaian dosis awal yang lebih rendah pada pasien CKD. Probenesid umumnya tidak direkomendasikan pada CKD. Kolkisin untuk serangan akut.</w:t>
            </w:r>
          </w:p>
        </w:tc>
      </w:tr>
      <w:tr>
        <w:tc>
          <w:tcPr>
            <w:tcW w:type="dxa" w:w="720"/>
            <w:vAlign w:val="top"/>
          </w:tcPr>
          <w:p>
            <w:pPr>
              <w:spacing w:before="0" w:after="0"/>
              <w:jc w:val="center"/>
            </w:pPr>
            <w:r>
              <w:rPr>
                <w:rFonts w:ascii="Calibri" w:hAnsi="Calibri"/>
                <w:b w:val="0"/>
                <w:sz w:val="22"/>
              </w:rPr>
              <w:t>19</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wanita berusia 58 tahun datang ke klinik dengan nyeri hebat, bengkak, dan kemerahan pada jempol kaki kanan yang baru saja dimulai 12 jam yang lalu. Dia belum pernah mengalami serangan gout sebelumnya. Hasil laboratorium menunjukkan kadar asam urat serum 9.2 mg/dL. Dokter mendiagnosis serangan gout akut. Terapi manakah yang paling tepat untuk diberikan saat ini?</w:t>
            </w:r>
          </w:p>
          <w:p>
            <w:pPr>
              <w:spacing w:before="0" w:after="0"/>
            </w:pPr>
            <w:r>
              <w:rPr>
                <w:rFonts w:ascii="Calibri" w:hAnsi="Calibri"/>
                <w:b w:val="0"/>
                <w:sz w:val="22"/>
              </w:rPr>
              <w:t>A. Allopurinol</w:t>
            </w:r>
          </w:p>
          <w:p>
            <w:pPr>
              <w:spacing w:before="0" w:after="0"/>
            </w:pPr>
            <w:r>
              <w:rPr>
                <w:rFonts w:ascii="Calibri" w:hAnsi="Calibri"/>
                <w:b w:val="0"/>
                <w:sz w:val="22"/>
              </w:rPr>
              <w:t>B. Febuxostat</w:t>
            </w:r>
          </w:p>
          <w:p>
            <w:pPr>
              <w:spacing w:before="0" w:after="0"/>
            </w:pPr>
            <w:r>
              <w:rPr>
                <w:rFonts w:ascii="Calibri" w:hAnsi="Calibri"/>
                <w:b w:val="0"/>
                <w:sz w:val="22"/>
              </w:rPr>
              <w:t>C. Probenesid</w:t>
            </w:r>
          </w:p>
          <w:p>
            <w:pPr>
              <w:spacing w:before="0" w:after="0"/>
            </w:pPr>
            <w:r>
              <w:rPr>
                <w:rFonts w:ascii="Calibri" w:hAnsi="Calibri"/>
                <w:b w:val="0"/>
                <w:sz w:val="22"/>
              </w:rPr>
              <w:t>D. Kolkisin</w:t>
            </w:r>
          </w:p>
          <w:p>
            <w:pPr>
              <w:spacing w:before="0" w:after="0"/>
            </w:pPr>
            <w:r>
              <w:rPr>
                <w:rFonts w:ascii="Calibri" w:hAnsi="Calibri"/>
                <w:b w:val="0"/>
                <w:sz w:val="22"/>
              </w:rPr>
              <w:t>E. Peglotikase</w:t>
            </w:r>
          </w:p>
        </w:tc>
        <w:tc>
          <w:tcPr>
            <w:tcW w:type="dxa" w:w="3312"/>
            <w:vAlign w:val="top"/>
          </w:tcPr>
          <w:p>
            <w:pPr>
              <w:spacing w:before="0" w:after="0"/>
              <w:jc w:val="left"/>
            </w:pPr>
            <w:r>
              <w:rPr>
                <w:rFonts w:ascii="Calibri" w:hAnsi="Calibri"/>
                <w:b w:val="0"/>
                <w:sz w:val="22"/>
              </w:rPr>
              <w:t>Jawaban: D</w:t>
            </w:r>
          </w:p>
          <w:p>
            <w:pPr>
              <w:spacing w:before="0" w:after="0"/>
            </w:pPr>
            <w:r>
              <w:rPr>
                <w:rFonts w:ascii="Calibri" w:hAnsi="Calibri"/>
                <w:b w:val="0"/>
                <w:sz w:val="22"/>
              </w:rPr>
            </w:r>
          </w:p>
          <w:p>
            <w:pPr>
              <w:spacing w:before="0" w:after="0"/>
            </w:pPr>
            <w:r>
              <w:rPr>
                <w:rFonts w:ascii="Calibri" w:hAnsi="Calibri"/>
                <w:b w:val="0"/>
                <w:sz w:val="22"/>
              </w:rPr>
              <w:t>Pembahasan: Pasien mengalami serangan gout akut yang baru saja dimulai. Terapi untuk serangan gout akut bertujuan untuk meredakan nyeri dan inflamasi dengan cepat. Kolkisin adalah salah satu pilihan terapi lini pertama untuk serangan gout akut. Allopurinol, Febuxostat, Probenesid, dan Peglotikase adalah terapi penurun asam urat (ULT) yang digunakan untuk mencegah serangan gout di masa depan atau mengelola gout kronis, dan tidak boleh dimulai atau disesuaikan dosisnya selama serangan akut karena dapat memperburuk serangan.</w:t>
            </w:r>
          </w:p>
        </w:tc>
      </w:tr>
      <w:tr>
        <w:tc>
          <w:tcPr>
            <w:tcW w:type="dxa" w:w="720"/>
            <w:vAlign w:val="top"/>
          </w:tcPr>
          <w:p>
            <w:pPr>
              <w:spacing w:before="0" w:after="0"/>
              <w:jc w:val="center"/>
            </w:pPr>
            <w:r>
              <w:rPr>
                <w:rFonts w:ascii="Calibri" w:hAnsi="Calibri"/>
                <w:b w:val="0"/>
                <w:sz w:val="22"/>
              </w:rPr>
              <w:t>20</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pasien laki-laki berusia 65 tahun didiagnosis dengan osteoartritis pada sendi panggul. Ia belum pernah mendapatkan pengobatan sebelumnya untuk kondisi ini. Obat apakah yang paling tepat direkomendasikan sebagai terapi awal untuk mengatasi nyeri pada pasien ini?</w:t>
            </w:r>
          </w:p>
          <w:p>
            <w:pPr>
              <w:spacing w:before="0" w:after="0"/>
            </w:pPr>
            <w:r>
              <w:rPr>
                <w:rFonts w:ascii="Calibri" w:hAnsi="Calibri"/>
                <w:b w:val="0"/>
                <w:sz w:val="22"/>
              </w:rPr>
              <w:t>A. Asetaminofen</w:t>
            </w:r>
          </w:p>
          <w:p>
            <w:pPr>
              <w:spacing w:before="0" w:after="0"/>
            </w:pPr>
            <w:r>
              <w:rPr>
                <w:rFonts w:ascii="Calibri" w:hAnsi="Calibri"/>
                <w:b w:val="0"/>
                <w:sz w:val="22"/>
              </w:rPr>
              <w:t>B. Naproxen</w:t>
            </w:r>
          </w:p>
          <w:p>
            <w:pPr>
              <w:spacing w:before="0" w:after="0"/>
            </w:pPr>
            <w:r>
              <w:rPr>
                <w:rFonts w:ascii="Calibri" w:hAnsi="Calibri"/>
                <w:b w:val="0"/>
                <w:sz w:val="22"/>
              </w:rPr>
              <w:t>C. Celecoxib</w:t>
            </w:r>
          </w:p>
          <w:p>
            <w:pPr>
              <w:spacing w:before="0" w:after="0"/>
            </w:pPr>
            <w:r>
              <w:rPr>
                <w:rFonts w:ascii="Calibri" w:hAnsi="Calibri"/>
                <w:b w:val="0"/>
                <w:sz w:val="22"/>
              </w:rPr>
              <w:t>D. Morfin</w:t>
            </w:r>
          </w:p>
          <w:p>
            <w:pPr>
              <w:spacing w:before="0" w:after="0"/>
            </w:pPr>
            <w:r>
              <w:rPr>
                <w:rFonts w:ascii="Calibri" w:hAnsi="Calibri"/>
                <w:b w:val="0"/>
                <w:sz w:val="22"/>
              </w:rPr>
              <w:t>E. Kondroitin sulfat</w:t>
            </w:r>
          </w:p>
        </w:tc>
        <w:tc>
          <w:tcPr>
            <w:tcW w:type="dxa" w:w="3312"/>
            <w:vAlign w:val="top"/>
          </w:tcPr>
          <w:p>
            <w:pPr>
              <w:spacing w:before="0" w:after="0"/>
              <w:jc w:val="left"/>
            </w:pPr>
            <w:r>
              <w:rPr>
                <w:rFonts w:ascii="Calibri" w:hAnsi="Calibri"/>
                <w:b w:val="0"/>
                <w:sz w:val="22"/>
              </w:rPr>
              <w:t>Jawaban: A</w:t>
            </w:r>
          </w:p>
          <w:p>
            <w:pPr>
              <w:spacing w:before="0" w:after="0"/>
            </w:pPr>
            <w:r>
              <w:rPr>
                <w:rFonts w:ascii="Calibri" w:hAnsi="Calibri"/>
                <w:b w:val="0"/>
                <w:sz w:val="22"/>
              </w:rPr>
            </w:r>
          </w:p>
          <w:p>
            <w:pPr>
              <w:spacing w:before="0" w:after="0"/>
            </w:pPr>
            <w:r>
              <w:rPr>
                <w:rFonts w:ascii="Calibri" w:hAnsi="Calibri"/>
                <w:b w:val="0"/>
                <w:sz w:val="22"/>
              </w:rPr>
              <w:t>Pembahasan: Asetaminofen (parasetamol) direkomendasikan sebagai terapi farmakologis lini pertama untuk nyeri osteoartritis ringan hingga sedang, terutama pada pasien yang baru didiagnosis, karena profil keamanannya yang baik dibandingkan NSAID.</w:t>
            </w:r>
          </w:p>
        </w:tc>
      </w:tr>
      <w:tr>
        <w:tc>
          <w:tcPr>
            <w:tcW w:type="dxa" w:w="720"/>
            <w:vAlign w:val="top"/>
          </w:tcPr>
          <w:p>
            <w:pPr>
              <w:spacing w:before="0" w:after="0"/>
              <w:jc w:val="center"/>
            </w:pPr>
            <w:r>
              <w:rPr>
                <w:rFonts w:ascii="Calibri" w:hAnsi="Calibri"/>
                <w:b w:val="0"/>
                <w:sz w:val="22"/>
              </w:rPr>
              <w:t>21</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atlet berusia 55 tahun didiagnosis dengan osteoartritis lutut stadium awal. Ia mengeluhkan nyeri saat bergerak dan merasa sendinya "kaku" atau "bergesekan". Dokter menyarankan terapi injeksi intra artikular untuk membantu memulihkan fungsi sendi dan mengurangi gesekan. Agen apakah yang paling sesuai untuk tujuan ini?</w:t>
            </w:r>
          </w:p>
          <w:p>
            <w:pPr>
              <w:spacing w:before="0" w:after="0"/>
            </w:pPr>
            <w:r>
              <w:rPr>
                <w:rFonts w:ascii="Calibri" w:hAnsi="Calibri"/>
                <w:b w:val="0"/>
                <w:sz w:val="22"/>
              </w:rPr>
              <w:t>A. Asam hialuronat</w:t>
            </w:r>
          </w:p>
          <w:p>
            <w:pPr>
              <w:spacing w:before="0" w:after="0"/>
            </w:pPr>
            <w:r>
              <w:rPr>
                <w:rFonts w:ascii="Calibri" w:hAnsi="Calibri"/>
                <w:b w:val="0"/>
                <w:sz w:val="22"/>
              </w:rPr>
              <w:t>B. Morfin</w:t>
            </w:r>
          </w:p>
          <w:p>
            <w:pPr>
              <w:spacing w:before="0" w:after="0"/>
            </w:pPr>
            <w:r>
              <w:rPr>
                <w:rFonts w:ascii="Calibri" w:hAnsi="Calibri"/>
                <w:b w:val="0"/>
                <w:sz w:val="22"/>
              </w:rPr>
              <w:t>C. Eritromisin</w:t>
            </w:r>
          </w:p>
          <w:p>
            <w:pPr>
              <w:spacing w:before="0" w:after="0"/>
            </w:pPr>
            <w:r>
              <w:rPr>
                <w:rFonts w:ascii="Calibri" w:hAnsi="Calibri"/>
                <w:b w:val="0"/>
                <w:sz w:val="22"/>
              </w:rPr>
              <w:t>D. Triamsinolon</w:t>
            </w:r>
          </w:p>
          <w:p>
            <w:pPr>
              <w:spacing w:before="0" w:after="0"/>
            </w:pPr>
            <w:r>
              <w:rPr>
                <w:rFonts w:ascii="Calibri" w:hAnsi="Calibri"/>
                <w:b w:val="0"/>
                <w:sz w:val="22"/>
              </w:rPr>
              <w:t>E. Vitamin D</w:t>
            </w:r>
          </w:p>
        </w:tc>
        <w:tc>
          <w:tcPr>
            <w:tcW w:type="dxa" w:w="3312"/>
            <w:vAlign w:val="top"/>
          </w:tcPr>
          <w:p>
            <w:pPr>
              <w:spacing w:before="0" w:after="0"/>
              <w:jc w:val="left"/>
            </w:pPr>
            <w:r>
              <w:rPr>
                <w:rFonts w:ascii="Calibri" w:hAnsi="Calibri"/>
                <w:b w:val="0"/>
                <w:sz w:val="22"/>
              </w:rPr>
              <w:t>Jawaban: A</w:t>
            </w:r>
          </w:p>
          <w:p>
            <w:pPr>
              <w:spacing w:before="0" w:after="0"/>
            </w:pPr>
            <w:r>
              <w:rPr>
                <w:rFonts w:ascii="Calibri" w:hAnsi="Calibri"/>
                <w:b w:val="0"/>
                <w:sz w:val="22"/>
              </w:rPr>
            </w:r>
          </w:p>
          <w:p>
            <w:pPr>
              <w:spacing w:before="0" w:after="0"/>
            </w:pPr>
            <w:r>
              <w:rPr>
                <w:rFonts w:ascii="Calibri" w:hAnsi="Calibri"/>
                <w:b w:val="0"/>
                <w:sz w:val="22"/>
              </w:rPr>
              <w:t>Pembahasan: Injeksi asam hialuronat digunakan untuk melengkapi asam hialuronat alami dalam cairan sinovial, meningkatkan pelumasan dan penyerapan guncangan pada sendi osteoartritis, sehingga mengurangi nyeri dan kekakuan. Morfin adalah opioid untuk nyeri, eritromisin adalah antibiotik, allopurinol untuk gout, dan vitamin D adalah suplemen, tidak ada yang berfungsi sebagai pelumas sendi langsung.</w:t>
            </w:r>
          </w:p>
        </w:tc>
      </w:tr>
      <w:tr>
        <w:tc>
          <w:tcPr>
            <w:tcW w:type="dxa" w:w="720"/>
            <w:vAlign w:val="top"/>
          </w:tcPr>
          <w:p>
            <w:pPr>
              <w:spacing w:before="0" w:after="0"/>
              <w:jc w:val="center"/>
            </w:pPr>
            <w:r>
              <w:rPr>
                <w:rFonts w:ascii="Calibri" w:hAnsi="Calibri"/>
                <w:b w:val="0"/>
                <w:sz w:val="22"/>
              </w:rPr>
              <w:t>22</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pasien berusia 68 tahun baru saja diresepkan ibandronat oral untuk pengobatan osteoporosis. Apoteker memberikan edukasi mengenai cara minum obat yang benar. Manakah dari instruksi berikut yang paling penting untuk ditekankan guna mencegah efek samping pada esofagus dan memastikan efektivitas obat?</w:t>
            </w:r>
          </w:p>
          <w:p>
            <w:pPr>
              <w:spacing w:before="0" w:after="0"/>
            </w:pPr>
            <w:r>
              <w:rPr>
                <w:rFonts w:ascii="Calibri" w:hAnsi="Calibri"/>
                <w:b w:val="0"/>
                <w:sz w:val="22"/>
              </w:rPr>
              <w:t>A. Minum obat dengan jus jeruk untuk meningkatkan penyerapan.</w:t>
            </w:r>
          </w:p>
          <w:p>
            <w:pPr>
              <w:spacing w:before="0" w:after="0"/>
            </w:pPr>
            <w:r>
              <w:rPr>
                <w:rFonts w:ascii="Calibri" w:hAnsi="Calibri"/>
                <w:b w:val="0"/>
                <w:sz w:val="22"/>
              </w:rPr>
              <w:t>B. Minum obat sebelum tidur agar tidak mengganggu aktivitas harian.</w:t>
            </w:r>
          </w:p>
          <w:p>
            <w:pPr>
              <w:spacing w:before="0" w:after="0"/>
            </w:pPr>
            <w:r>
              <w:rPr>
                <w:rFonts w:ascii="Calibri" w:hAnsi="Calibri"/>
                <w:b w:val="0"/>
                <w:sz w:val="22"/>
              </w:rPr>
              <w:t>C. Minum obat dengan segelas air putih dan segera berbaring untuk istirahat.</w:t>
            </w:r>
          </w:p>
          <w:p>
            <w:pPr>
              <w:spacing w:before="0" w:after="0"/>
            </w:pPr>
            <w:r>
              <w:rPr>
                <w:rFonts w:ascii="Calibri" w:hAnsi="Calibri"/>
                <w:b w:val="0"/>
                <w:sz w:val="22"/>
              </w:rPr>
              <w:t>D. Minum obat di pagi hari saat perut kosong, dengan segelas air putih, dan tetap tegak selama minimal 60 menit.</w:t>
            </w:r>
          </w:p>
          <w:p>
            <w:pPr>
              <w:spacing w:before="0" w:after="0"/>
            </w:pPr>
            <w:r>
              <w:rPr>
                <w:rFonts w:ascii="Calibri" w:hAnsi="Calibri"/>
                <w:b w:val="0"/>
                <w:sz w:val="22"/>
              </w:rPr>
              <w:t>E. Minum obat bersamaan dengan suplemen kalsium untuk sinergi.</w:t>
            </w:r>
          </w:p>
        </w:tc>
        <w:tc>
          <w:tcPr>
            <w:tcW w:type="dxa" w:w="3312"/>
            <w:vAlign w:val="top"/>
          </w:tcPr>
          <w:p>
            <w:pPr>
              <w:spacing w:before="0" w:after="0"/>
              <w:jc w:val="left"/>
            </w:pPr>
            <w:r>
              <w:rPr>
                <w:rFonts w:ascii="Calibri" w:hAnsi="Calibri"/>
                <w:b w:val="0"/>
                <w:sz w:val="22"/>
              </w:rPr>
              <w:t>Jawaban: D</w:t>
            </w:r>
          </w:p>
          <w:p>
            <w:pPr>
              <w:spacing w:before="0" w:after="0"/>
            </w:pPr>
            <w:r>
              <w:rPr>
                <w:rFonts w:ascii="Calibri" w:hAnsi="Calibri"/>
                <w:b w:val="0"/>
                <w:sz w:val="22"/>
              </w:rPr>
            </w:r>
          </w:p>
          <w:p>
            <w:pPr>
              <w:spacing w:before="0" w:after="0"/>
            </w:pPr>
            <w:r>
              <w:rPr>
                <w:rFonts w:ascii="Calibri" w:hAnsi="Calibri"/>
                <w:b w:val="0"/>
                <w:sz w:val="22"/>
              </w:rPr>
              <w:t>Pembahasan: Instruksi yang paling penting untuk ibandronat adalah meminumnya di pagi hari saat perut kosong, dengan segelas penuh air putih biasa, dan pasien harus tetap dalam posisi tegak (duduk atau berdiri) selama minimal 60 menit. Ini krusial untuk mencegah iritasi esofagus dan memastikan penyerapan obat yang optimal. Jus jeruk, berbaring, atau minum bersama suplemen kalsium adalah kesalahan umum yang dapat mengurangi efektivitas atau meningkatkan risiko efek samping.</w:t>
            </w:r>
          </w:p>
        </w:tc>
      </w:tr>
      <w:tr>
        <w:tc>
          <w:tcPr>
            <w:tcW w:type="dxa" w:w="720"/>
            <w:vAlign w:val="top"/>
          </w:tcPr>
          <w:p>
            <w:pPr>
              <w:spacing w:before="0" w:after="0"/>
              <w:jc w:val="center"/>
            </w:pPr>
            <w:r>
              <w:rPr>
                <w:rFonts w:ascii="Calibri" w:hAnsi="Calibri"/>
                <w:b w:val="0"/>
                <w:sz w:val="22"/>
              </w:rPr>
              <w:t>23</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laki-laki berusia 23 tahun datang dengan keluhan jerawat parah yang menutupi sebagian besar wajah, dada, dan punggung sejak 2 tahun terakhir. Ia memiliki banyak nodul, kista, dan jaringan parut yang dalam. Pasien telah mencoba berbagai terapi topikal seperti retinoid dan antibiotik, serta antibiotik oral (minocycline) selama 6 bulan tanpa perbaikan signifikan. Terapi yang paling tepat untuk pasien ini adalah?</w:t>
            </w:r>
          </w:p>
          <w:p>
            <w:pPr>
              <w:spacing w:before="0" w:after="0"/>
            </w:pPr>
            <w:r>
              <w:rPr>
                <w:rFonts w:ascii="Calibri" w:hAnsi="Calibri"/>
                <w:b w:val="0"/>
                <w:sz w:val="22"/>
              </w:rPr>
              <w:t>A. Kombinasi klindamisin topikal dan benzoyl peroxide</w:t>
            </w:r>
          </w:p>
          <w:p>
            <w:pPr>
              <w:spacing w:before="0" w:after="0"/>
            </w:pPr>
            <w:r>
              <w:rPr>
                <w:rFonts w:ascii="Calibri" w:hAnsi="Calibri"/>
                <w:b w:val="0"/>
                <w:sz w:val="22"/>
              </w:rPr>
              <w:t>B. Terapi fotodinamik</w:t>
            </w:r>
          </w:p>
          <w:p>
            <w:pPr>
              <w:spacing w:before="0" w:after="0"/>
            </w:pPr>
            <w:r>
              <w:rPr>
                <w:rFonts w:ascii="Calibri" w:hAnsi="Calibri"/>
                <w:b w:val="0"/>
                <w:sz w:val="22"/>
              </w:rPr>
              <w:t>C. Doksisiklin oral dosis tinggi</w:t>
            </w:r>
          </w:p>
          <w:p>
            <w:pPr>
              <w:spacing w:before="0" w:after="0"/>
            </w:pPr>
            <w:r>
              <w:rPr>
                <w:rFonts w:ascii="Calibri" w:hAnsi="Calibri"/>
                <w:b w:val="0"/>
                <w:sz w:val="22"/>
              </w:rPr>
              <w:t>D. Isotretinoin oral</w:t>
            </w:r>
          </w:p>
          <w:p>
            <w:pPr>
              <w:spacing w:before="0" w:after="0"/>
            </w:pPr>
            <w:r>
              <w:rPr>
                <w:rFonts w:ascii="Calibri" w:hAnsi="Calibri"/>
                <w:b w:val="0"/>
                <w:sz w:val="22"/>
              </w:rPr>
              <w:t>E. Ekstraksi komedo dan injeksi kortikosteroid intralesi</w:t>
            </w:r>
          </w:p>
        </w:tc>
        <w:tc>
          <w:tcPr>
            <w:tcW w:type="dxa" w:w="3312"/>
            <w:vAlign w:val="top"/>
          </w:tcPr>
          <w:p>
            <w:pPr>
              <w:spacing w:before="0" w:after="0"/>
              <w:jc w:val="left"/>
            </w:pPr>
            <w:r>
              <w:rPr>
                <w:rFonts w:ascii="Calibri" w:hAnsi="Calibri"/>
                <w:b w:val="0"/>
                <w:sz w:val="22"/>
              </w:rPr>
              <w:t>Jawaban: D</w:t>
            </w:r>
          </w:p>
          <w:p>
            <w:pPr>
              <w:spacing w:before="0" w:after="0"/>
            </w:pPr>
            <w:r>
              <w:rPr>
                <w:rFonts w:ascii="Calibri" w:hAnsi="Calibri"/>
                <w:b w:val="0"/>
                <w:sz w:val="22"/>
              </w:rPr>
            </w:r>
          </w:p>
          <w:p>
            <w:pPr>
              <w:spacing w:before="0" w:after="0"/>
            </w:pPr>
            <w:r>
              <w:rPr>
                <w:rFonts w:ascii="Calibri" w:hAnsi="Calibri"/>
                <w:b w:val="0"/>
                <w:sz w:val="22"/>
              </w:rPr>
              <w:t>Pembahasan: Pasien mengalami akne vulgaris derajat berat (nodulokistik, melibatkan area luas, dengan skar) dan sudah refrakter terhadap terapi topikal serta antibiotik oral. Dalam kasus seperti ini, isotretinoin oral adalah pilihan terapi yang paling efektif dan direkomendasikan untuk mencapai remisi jangka panjang dan mencegah pembentukan skar lebih lanjut.</w:t>
            </w:r>
          </w:p>
        </w:tc>
      </w:tr>
      <w:tr>
        <w:tc>
          <w:tcPr>
            <w:tcW w:type="dxa" w:w="720"/>
            <w:vAlign w:val="top"/>
          </w:tcPr>
          <w:p>
            <w:pPr>
              <w:spacing w:before="0" w:after="0"/>
              <w:jc w:val="center"/>
            </w:pPr>
            <w:r>
              <w:rPr>
                <w:rFonts w:ascii="Calibri" w:hAnsi="Calibri"/>
                <w:b w:val="0"/>
                <w:sz w:val="22"/>
              </w:rPr>
              <w:t>24</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pria berusia 55 tahun dengan asma persisten sedang dan diabetes melitus tipe 2 yang terkontrol, mengalami eksaserbasi akut. Dokter meresepkan terapi kortikosteroid oral jangka pendek. Efek samping metabolik yang paling mungkin terjadi dan memerlukan pemantauan ketat pada pasien ini adalah:</w:t>
            </w:r>
          </w:p>
          <w:p>
            <w:pPr>
              <w:spacing w:before="0" w:after="0"/>
            </w:pPr>
            <w:r>
              <w:rPr>
                <w:rFonts w:ascii="Calibri" w:hAnsi="Calibri"/>
                <w:b w:val="0"/>
                <w:sz w:val="22"/>
              </w:rPr>
              <w:t>A. Hipokalemia</w:t>
            </w:r>
          </w:p>
          <w:p>
            <w:pPr>
              <w:spacing w:before="0" w:after="0"/>
            </w:pPr>
            <w:r>
              <w:rPr>
                <w:rFonts w:ascii="Calibri" w:hAnsi="Calibri"/>
                <w:b w:val="0"/>
                <w:sz w:val="22"/>
              </w:rPr>
              <w:t>B. Hiponatremia</w:t>
            </w:r>
          </w:p>
          <w:p>
            <w:pPr>
              <w:spacing w:before="0" w:after="0"/>
            </w:pPr>
            <w:r>
              <w:rPr>
                <w:rFonts w:ascii="Calibri" w:hAnsi="Calibri"/>
                <w:b w:val="0"/>
                <w:sz w:val="22"/>
              </w:rPr>
              <w:t>C. Hiperglikemia</w:t>
            </w:r>
          </w:p>
          <w:p>
            <w:pPr>
              <w:spacing w:before="0" w:after="0"/>
            </w:pPr>
            <w:r>
              <w:rPr>
                <w:rFonts w:ascii="Calibri" w:hAnsi="Calibri"/>
                <w:b w:val="0"/>
                <w:sz w:val="22"/>
              </w:rPr>
              <w:t>D. Hipokalsemia</w:t>
            </w:r>
          </w:p>
          <w:p>
            <w:pPr>
              <w:spacing w:before="0" w:after="0"/>
            </w:pPr>
            <w:r>
              <w:rPr>
                <w:rFonts w:ascii="Calibri" w:hAnsi="Calibri"/>
                <w:b w:val="0"/>
                <w:sz w:val="22"/>
              </w:rPr>
              <w:t>E. Asidosis metabolik</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Pembahasan: Kortikosteroid sistemik diketahui menyebabkan resistensi insulin dan meningkatkan produksi glukosa hati, yang mengakibatkan hiperglikemia. Ini adalah efek samping metabolik yang paling relevan dan memerlukan pemantauan pada pasien diabetes yang menerima terapi kortikosteroid.</w:t>
            </w:r>
          </w:p>
        </w:tc>
      </w:tr>
      <w:tr>
        <w:tc>
          <w:tcPr>
            <w:tcW w:type="dxa" w:w="720"/>
            <w:vAlign w:val="top"/>
          </w:tcPr>
          <w:p>
            <w:pPr>
              <w:spacing w:before="0" w:after="0"/>
              <w:jc w:val="center"/>
            </w:pPr>
            <w:r>
              <w:rPr>
                <w:rFonts w:ascii="Calibri" w:hAnsi="Calibri"/>
                <w:b w:val="0"/>
                <w:sz w:val="22"/>
              </w:rPr>
              <w:t>25</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remaja berusia 14 tahun dengan asma persisten sedang menjalani terapi dengan beclomethasone dipropionate inhaler. Saat kontrol rutin, apoteker mengingatkan pasien untuk selalu berkumur setelah menggunakan inhaler. Mengapa anjuran berkumur ini sangat penting bagi pasien?</w:t>
            </w:r>
          </w:p>
          <w:p>
            <w:pPr>
              <w:spacing w:before="0" w:after="0"/>
            </w:pPr>
            <w:r>
              <w:rPr>
                <w:rFonts w:ascii="Calibri" w:hAnsi="Calibri"/>
                <w:b w:val="0"/>
                <w:sz w:val="22"/>
              </w:rPr>
              <w:t>A. Untuk meningkatkan efektivitas obat dalam mengontrol asma.</w:t>
            </w:r>
          </w:p>
          <w:p>
            <w:pPr>
              <w:spacing w:before="0" w:after="0"/>
            </w:pPr>
            <w:r>
              <w:rPr>
                <w:rFonts w:ascii="Calibri" w:hAnsi="Calibri"/>
                <w:b w:val="0"/>
                <w:sz w:val="22"/>
              </w:rPr>
              <w:t>B. Untuk mencegah terjadinya batuk kering setelah inhalasi.</w:t>
            </w:r>
          </w:p>
          <w:p>
            <w:pPr>
              <w:spacing w:before="0" w:after="0"/>
            </w:pPr>
            <w:r>
              <w:rPr>
                <w:rFonts w:ascii="Calibri" w:hAnsi="Calibri"/>
                <w:b w:val="0"/>
                <w:sz w:val="22"/>
              </w:rPr>
              <w:t>C. Untuk meminimalkan kemungkinan infeksi jamur di mulut dan tenggorokan.</w:t>
            </w:r>
          </w:p>
          <w:p>
            <w:pPr>
              <w:spacing w:before="0" w:after="0"/>
            </w:pPr>
            <w:r>
              <w:rPr>
                <w:rFonts w:ascii="Calibri" w:hAnsi="Calibri"/>
                <w:b w:val="0"/>
                <w:sz w:val="22"/>
              </w:rPr>
              <w:t>D. Untuk mengurangi risiko suara serak atau disfonia.</w:t>
            </w:r>
          </w:p>
          <w:p>
            <w:pPr>
              <w:spacing w:before="0" w:after="0"/>
            </w:pPr>
            <w:r>
              <w:rPr>
                <w:rFonts w:ascii="Calibri" w:hAnsi="Calibri"/>
                <w:b w:val="0"/>
                <w:sz w:val="22"/>
              </w:rPr>
              <w:t>E. Untuk memastikan obat tidak tertelan dan masuk ke saluran cerna.</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Pembahasan: Beclomethasone dipropionate adalah kortikosteroid inhalasi. Efek samping lokal yang umum dari kortikosteroid inhalasi adalah kandidiasis orofaringeal (infeksi jamur di mulut dan tenggorokan) dan disfonia. Berkumur setelah penggunaan inhaler membantu menghilangkan residu obat dari rongga mulut, secara signifikan mengurangi risiko kandidiasis oral.</w:t>
            </w:r>
          </w:p>
        </w:tc>
      </w:tr>
      <w:tr>
        <w:tc>
          <w:tcPr>
            <w:tcW w:type="dxa" w:w="720"/>
            <w:vAlign w:val="top"/>
          </w:tcPr>
          <w:p>
            <w:pPr>
              <w:spacing w:before="0" w:after="0"/>
              <w:jc w:val="center"/>
            </w:pPr>
            <w:r>
              <w:rPr>
                <w:rFonts w:ascii="Calibri" w:hAnsi="Calibri"/>
                <w:b w:val="0"/>
                <w:sz w:val="22"/>
              </w:rPr>
              <w:t>26</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anak laki-laki berusia 8 tahun didiagnosis dengan asma persisten ringan hingga sedang. Ia mengalami gejala asma (batuk, mengi) sekitar 3-4 kali seminggu dan terbangun di malam hari karena asma sekitar 2 kali sebulan. Ia telah menggunakan inhaler salbutamol sesuai kebutuhan, namun gejala masih mengganggu aktivitas sekolahnya. Obat manakah yang paling tepat direkomendasikan sebagai terapi kontrol jangka panjang untuk anak ini?</w:t>
            </w:r>
          </w:p>
          <w:p>
            <w:pPr>
              <w:spacing w:before="0" w:after="0"/>
            </w:pPr>
            <w:r>
              <w:rPr>
                <w:rFonts w:ascii="Calibri" w:hAnsi="Calibri"/>
                <w:b w:val="0"/>
                <w:sz w:val="22"/>
              </w:rPr>
              <w:t>A. Salbutamol inhaler PRN</w:t>
            </w:r>
          </w:p>
          <w:p>
            <w:pPr>
              <w:spacing w:before="0" w:after="0"/>
            </w:pPr>
            <w:r>
              <w:rPr>
                <w:rFonts w:ascii="Calibri" w:hAnsi="Calibri"/>
                <w:b w:val="0"/>
                <w:sz w:val="22"/>
              </w:rPr>
              <w:t>B. Prednisone oral setiap hari</w:t>
            </w:r>
          </w:p>
          <w:p>
            <w:pPr>
              <w:spacing w:before="0" w:after="0"/>
            </w:pPr>
            <w:r>
              <w:rPr>
                <w:rFonts w:ascii="Calibri" w:hAnsi="Calibri"/>
                <w:b w:val="0"/>
                <w:sz w:val="22"/>
              </w:rPr>
              <w:t>C. Budesonide inhaler setiap hari</w:t>
            </w:r>
          </w:p>
          <w:p>
            <w:pPr>
              <w:spacing w:before="0" w:after="0"/>
            </w:pPr>
            <w:r>
              <w:rPr>
                <w:rFonts w:ascii="Calibri" w:hAnsi="Calibri"/>
                <w:b w:val="0"/>
                <w:sz w:val="22"/>
              </w:rPr>
              <w:t>D. Zafirlukast oral setiap hari</w:t>
            </w:r>
          </w:p>
          <w:p>
            <w:pPr>
              <w:spacing w:before="0" w:after="0"/>
            </w:pPr>
            <w:r>
              <w:rPr>
                <w:rFonts w:ascii="Calibri" w:hAnsi="Calibri"/>
                <w:b w:val="0"/>
                <w:sz w:val="22"/>
              </w:rPr>
              <w:t>E. Omalizumab injeksi setiap bulan</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Pembahasan: Budesonide, sebagai kortikosteroid inhalasi (ICS), adalah terapi lini pertama yang direkomendasikan untuk kontrol jangka panjang asma persisten pada anak-anak maupun dewasa. ICS bekerja dengan mengurangi peradangan di saluran napas, sehingga mengurangi frekuensi dan keparahan gejala serta eksaserbasi. Gejala yang dialami anak ini menunjukkan asma persisten yang memerlukan terapi kontrol jangka panjang. Salbutamol adalah obat pelega, Prednisone oral tidak untuk kontrol jangka panjang karena efek samping sistemik, Zafirlukast adalah LTRA yang merupakan terapi tambahan, dan Omalizumab untuk asma berat.</w:t>
            </w:r>
          </w:p>
        </w:tc>
      </w:tr>
      <w:tr>
        <w:tc>
          <w:tcPr>
            <w:tcW w:type="dxa" w:w="720"/>
            <w:vAlign w:val="top"/>
          </w:tcPr>
          <w:p>
            <w:pPr>
              <w:spacing w:before="0" w:after="0"/>
              <w:jc w:val="center"/>
            </w:pPr>
            <w:r>
              <w:rPr>
                <w:rFonts w:ascii="Calibri" w:hAnsi="Calibri"/>
                <w:b w:val="0"/>
                <w:sz w:val="22"/>
              </w:rPr>
              <w:t>27</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pasien wanita, 58 tahun, didiagnosis PPOK. Ia mengeluhkan sesak napas setiap hari yang mengganggu aktivitasnya, meskipun sudah rutin menggunakan inhaler short-acting beta agonist (SABA) saat dibutuhkan. Dalam 12 bulan terakhir, pasien mengalami tiga kali eksaserbasi PPOK yang memerlukan terapi antibiotik dan kortikosteroid oral, namun tidak sampai dirawat inap. Obat manakah yang paling tepat ditambahkan ke regimen terapinya untuk mengontrol gejala dan mengurangi risiko eksaserbasi di masa mendatang?</w:t>
            </w:r>
          </w:p>
          <w:p>
            <w:pPr>
              <w:spacing w:before="0" w:after="0"/>
            </w:pPr>
            <w:r>
              <w:rPr>
                <w:rFonts w:ascii="Calibri" w:hAnsi="Calibri"/>
                <w:b w:val="0"/>
                <w:sz w:val="22"/>
              </w:rPr>
              <w:t>A. Salbutamol</w:t>
            </w:r>
          </w:p>
          <w:p>
            <w:pPr>
              <w:spacing w:before="0" w:after="0"/>
            </w:pPr>
            <w:r>
              <w:rPr>
                <w:rFonts w:ascii="Calibri" w:hAnsi="Calibri"/>
                <w:b w:val="0"/>
                <w:sz w:val="22"/>
              </w:rPr>
              <w:t>B. Formoterol</w:t>
            </w:r>
          </w:p>
          <w:p>
            <w:pPr>
              <w:spacing w:before="0" w:after="0"/>
            </w:pPr>
            <w:r>
              <w:rPr>
                <w:rFonts w:ascii="Calibri" w:hAnsi="Calibri"/>
                <w:b w:val="0"/>
                <w:sz w:val="22"/>
              </w:rPr>
              <w:t>C. Budesonide</w:t>
            </w:r>
          </w:p>
          <w:p>
            <w:pPr>
              <w:spacing w:before="0" w:after="0"/>
            </w:pPr>
            <w:r>
              <w:rPr>
                <w:rFonts w:ascii="Calibri" w:hAnsi="Calibri"/>
                <w:b w:val="0"/>
                <w:sz w:val="22"/>
              </w:rPr>
              <w:t>D. Tiotropium</w:t>
            </w:r>
          </w:p>
          <w:p>
            <w:pPr>
              <w:spacing w:before="0" w:after="0"/>
            </w:pPr>
            <w:r>
              <w:rPr>
                <w:rFonts w:ascii="Calibri" w:hAnsi="Calibri"/>
                <w:b w:val="0"/>
                <w:sz w:val="22"/>
              </w:rPr>
              <w:t>E. Montelukast</w:t>
            </w:r>
          </w:p>
        </w:tc>
        <w:tc>
          <w:tcPr>
            <w:tcW w:type="dxa" w:w="3312"/>
            <w:vAlign w:val="top"/>
          </w:tcPr>
          <w:p>
            <w:pPr>
              <w:spacing w:before="0" w:after="0"/>
              <w:jc w:val="left"/>
            </w:pPr>
            <w:r>
              <w:rPr>
                <w:rFonts w:ascii="Calibri" w:hAnsi="Calibri"/>
                <w:b w:val="0"/>
                <w:sz w:val="22"/>
              </w:rPr>
              <w:t>Jawaban: D</w:t>
            </w:r>
          </w:p>
          <w:p>
            <w:pPr>
              <w:spacing w:before="0" w:after="0"/>
            </w:pPr>
            <w:r>
              <w:rPr>
                <w:rFonts w:ascii="Calibri" w:hAnsi="Calibri"/>
                <w:b w:val="0"/>
                <w:sz w:val="22"/>
              </w:rPr>
            </w:r>
          </w:p>
          <w:p>
            <w:pPr>
              <w:spacing w:before="0" w:after="0"/>
            </w:pPr>
            <w:r>
              <w:rPr>
                <w:rFonts w:ascii="Calibri" w:hAnsi="Calibri"/>
                <w:b w:val="0"/>
                <w:sz w:val="22"/>
              </w:rPr>
              <w:t>Pembahasan: Pasien PPOK ini memiliki gejala persisten dan riwayat eksaserbasi (tiga kali dalam setahun) meskipun sudah menggunakan SABA. Ini menunjukkan perlunya terapi bronkodilator kerja panjang untuk kontrol gejala dan mengurangi risiko eksaserbasi. Tiotropium, sebagai Long-Acting Muscarinic Antagonist (LAMA), adalah pilihan yang sangat tepat karena terbukti efektif dalam memperbaiki fungsi paru, mengurangi gejala, dan menurunkan frekuensi eksaserbasi pada pasien PPOK sesuai pedoman GOLD.</w:t>
            </w:r>
          </w:p>
        </w:tc>
      </w:tr>
      <w:tr>
        <w:tc>
          <w:tcPr>
            <w:tcW w:type="dxa" w:w="720"/>
            <w:vAlign w:val="top"/>
          </w:tcPr>
          <w:p>
            <w:pPr>
              <w:spacing w:before="0" w:after="0"/>
              <w:jc w:val="center"/>
            </w:pPr>
            <w:r>
              <w:rPr>
                <w:rFonts w:ascii="Calibri" w:hAnsi="Calibri"/>
                <w:b w:val="0"/>
                <w:sz w:val="22"/>
              </w:rPr>
              <w:t>28</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pasien pria 68 tahun dengan PPOK berat dan riwayat diabetes melitus tipe 2, datang ke IGD dengan keluhan sesak napas yang memburuk, batuk dengan dahak purulen, dan demam tinggi. Pasien memiliki riwayat rawat inap berulang dalam setahun terakhir karena eksaserbasi PPOK dan baru saja menyelesaikan terapi antibiotik sefalosporin generasi ketiga 2 minggu yang lalu. Pemeriksaan fisik menunjukkan pasien tampak sakit berat, takipnea, dan saturasi oksigen 89% dengan nasal kanul. Dokter mencurigai eksaserbasi PPOK terinfeksi bakteri dengan kemungkinan resistensi. Antibiotik empiris yang paling tepat untuk pasien ini adalah?</w:t>
            </w:r>
          </w:p>
          <w:p>
            <w:pPr>
              <w:spacing w:before="0" w:after="0"/>
            </w:pPr>
            <w:r>
              <w:rPr>
                <w:rFonts w:ascii="Calibri" w:hAnsi="Calibri"/>
                <w:b w:val="0"/>
                <w:sz w:val="22"/>
              </w:rPr>
              <w:t>A. Sefiksim</w:t>
            </w:r>
          </w:p>
          <w:p>
            <w:pPr>
              <w:spacing w:before="0" w:after="0"/>
            </w:pPr>
            <w:r>
              <w:rPr>
                <w:rFonts w:ascii="Calibri" w:hAnsi="Calibri"/>
                <w:b w:val="0"/>
                <w:sz w:val="22"/>
              </w:rPr>
              <w:t>B. Azitromisin</w:t>
            </w:r>
          </w:p>
          <w:p>
            <w:pPr>
              <w:spacing w:before="0" w:after="0"/>
            </w:pPr>
            <w:r>
              <w:rPr>
                <w:rFonts w:ascii="Calibri" w:hAnsi="Calibri"/>
                <w:b w:val="0"/>
                <w:sz w:val="22"/>
              </w:rPr>
              <w:t>C. Gentamisin</w:t>
            </w:r>
          </w:p>
          <w:p>
            <w:pPr>
              <w:spacing w:before="0" w:after="0"/>
            </w:pPr>
            <w:r>
              <w:rPr>
                <w:rFonts w:ascii="Calibri" w:hAnsi="Calibri"/>
                <w:b w:val="0"/>
                <w:sz w:val="22"/>
              </w:rPr>
              <w:t>D. Levofloksasin</w:t>
            </w:r>
          </w:p>
          <w:p>
            <w:pPr>
              <w:spacing w:before="0" w:after="0"/>
            </w:pPr>
            <w:r>
              <w:rPr>
                <w:rFonts w:ascii="Calibri" w:hAnsi="Calibri"/>
                <w:b w:val="0"/>
                <w:sz w:val="22"/>
              </w:rPr>
              <w:t>E. Klindamisin</w:t>
            </w:r>
          </w:p>
        </w:tc>
        <w:tc>
          <w:tcPr>
            <w:tcW w:type="dxa" w:w="3312"/>
            <w:vAlign w:val="top"/>
          </w:tcPr>
          <w:p>
            <w:pPr>
              <w:spacing w:before="0" w:after="0"/>
              <w:jc w:val="left"/>
            </w:pPr>
            <w:r>
              <w:rPr>
                <w:rFonts w:ascii="Calibri" w:hAnsi="Calibri"/>
                <w:b w:val="0"/>
                <w:sz w:val="22"/>
              </w:rPr>
              <w:t>Jawaban: D</w:t>
            </w:r>
          </w:p>
          <w:p>
            <w:pPr>
              <w:spacing w:before="0" w:after="0"/>
            </w:pPr>
            <w:r>
              <w:rPr>
                <w:rFonts w:ascii="Calibri" w:hAnsi="Calibri"/>
                <w:b w:val="0"/>
                <w:sz w:val="22"/>
              </w:rPr>
            </w:r>
          </w:p>
          <w:p>
            <w:pPr>
              <w:spacing w:before="0" w:after="0"/>
            </w:pPr>
            <w:r>
              <w:rPr>
                <w:rFonts w:ascii="Calibri" w:hAnsi="Calibri"/>
                <w:b w:val="0"/>
                <w:sz w:val="22"/>
              </w:rPr>
              <w:t>Pembahasan: Pasien ini memiliki PPOK berat, riwayat rawat inap berulang, dan penggunaan antibiotik baru-baru ini, yang semuanya merupakan faktor risiko untuk infeksi bakteri resisten, termasuk Pseudomonas aeruginosa. Gejala klinis menunjukkan eksaserbasi berat. Levofloksasin adalah fluoroquinolone dengan aktivitas anti-pseudomonal yang kuat dan merupakan pilihan yang tepat untuk terapi empiris pada pasien dengan eksaserbasi PPOK berat dan risiko Pseudomonas. Gentamisin adalah aminoglikosida yang efektif terhadap Pseudomonas tetapi biasanya digunakan dalam kombinasi atau untuk infeksi yang lebih spesifik karena toksisitasnya dan perlunya pemantauan. Sefiksim dan klindamisin tidak memiliki cakupan yang memadai untuk Pseudomonas.</w:t>
            </w:r>
          </w:p>
        </w:tc>
      </w:tr>
      <w:tr>
        <w:tc>
          <w:tcPr>
            <w:tcW w:type="dxa" w:w="720"/>
            <w:vAlign w:val="top"/>
          </w:tcPr>
          <w:p>
            <w:pPr>
              <w:spacing w:before="0" w:after="0"/>
              <w:jc w:val="center"/>
            </w:pPr>
            <w:r>
              <w:rPr>
                <w:rFonts w:ascii="Calibri" w:hAnsi="Calibri"/>
                <w:b w:val="0"/>
                <w:sz w:val="22"/>
              </w:rPr>
              <w:t>29</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pasien berusia 68 tahun dengan riwayat PPOK datang ke unit gawat darurat dengan keluhan peningkatan sesak napas, batuk, dan produksi sputum. Ia telah menggunakan salbutamol dan tiotropium secara teratur. Meskipun telah menerima terapi amoksisilin oral selama 5 hari, gejala-gejalanya belum membaik secara signifikan. Hasil pemeriksaan laboratorium menunjukkan kadar eosinofil darah 380 sel/µL. Terapi tambahan apa yang paling tepat untuk pasien ini?</w:t>
            </w:r>
          </w:p>
          <w:p>
            <w:pPr>
              <w:spacing w:before="0" w:after="0"/>
            </w:pPr>
            <w:r>
              <w:rPr>
                <w:rFonts w:ascii="Calibri" w:hAnsi="Calibri"/>
                <w:b w:val="0"/>
                <w:sz w:val="22"/>
              </w:rPr>
              <w:t>A. Teofilin</w:t>
            </w:r>
          </w:p>
          <w:p>
            <w:pPr>
              <w:spacing w:before="0" w:after="0"/>
            </w:pPr>
            <w:r>
              <w:rPr>
                <w:rFonts w:ascii="Calibri" w:hAnsi="Calibri"/>
                <w:b w:val="0"/>
                <w:sz w:val="22"/>
              </w:rPr>
              <w:t>B. Roflumilast</w:t>
            </w:r>
          </w:p>
          <w:p>
            <w:pPr>
              <w:spacing w:before="0" w:after="0"/>
            </w:pPr>
            <w:r>
              <w:rPr>
                <w:rFonts w:ascii="Calibri" w:hAnsi="Calibri"/>
                <w:b w:val="0"/>
                <w:sz w:val="22"/>
              </w:rPr>
              <w:t>C. Prednisolon</w:t>
            </w:r>
          </w:p>
          <w:p>
            <w:pPr>
              <w:spacing w:before="0" w:after="0"/>
            </w:pPr>
            <w:r>
              <w:rPr>
                <w:rFonts w:ascii="Calibri" w:hAnsi="Calibri"/>
                <w:b w:val="0"/>
                <w:sz w:val="22"/>
              </w:rPr>
              <w:t>D. Doksisiklin</w:t>
            </w:r>
          </w:p>
          <w:p>
            <w:pPr>
              <w:spacing w:before="0" w:after="0"/>
            </w:pPr>
            <w:r>
              <w:rPr>
                <w:rFonts w:ascii="Calibri" w:hAnsi="Calibri"/>
                <w:b w:val="0"/>
                <w:sz w:val="22"/>
              </w:rPr>
              <w:t>E. N-asetilsistein</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Pembahasan: Pasien mengalami eksaserbasi PPOK dengan gejala yang memburuk dan kadar eosinofil darah 380 sel/µL. Kadar eosinofil yang tinggi (misalnya, ≥300 sel/µL) merupakan indikator kuat bahwa pasien akan mendapatkan manfaat dari terapi kortikosteroid. Meskipun telah diberikan antibiotik, kondisinya belum membaik. Kortikosteroid sistemik seperti prednisolon direkomendasikan untuk eksaserbasi PPOK sedang hingga berat untuk mengurangi peradangan, memperbaiki fungsi paru, dan mempercepat waktu pemulihan, terutama pada pasien dengan eosinofil tinggi.</w:t>
            </w:r>
          </w:p>
        </w:tc>
      </w:tr>
      <w:tr>
        <w:tc>
          <w:tcPr>
            <w:tcW w:type="dxa" w:w="720"/>
            <w:vAlign w:val="top"/>
          </w:tcPr>
          <w:p>
            <w:pPr>
              <w:spacing w:before="0" w:after="0"/>
              <w:jc w:val="center"/>
            </w:pPr>
            <w:r>
              <w:rPr>
                <w:rFonts w:ascii="Calibri" w:hAnsi="Calibri"/>
                <w:b w:val="0"/>
                <w:sz w:val="22"/>
              </w:rPr>
              <w:t>30</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wanita hamil 28 tahun, usia kehamilan 10 minggu, melaporkan mual di pagi hari yang persisten dan secara signifikan memengaruhi aktivitas hariannya. Ia telah mencoba teh jahe dan makan dalam porsi kecil namun sering tanpa banyak perbaikan. Obat manakah yang merupakan terapi farmakologis awal yang paling tepat untuk kondisinya?</w:t>
            </w:r>
          </w:p>
          <w:p>
            <w:pPr>
              <w:spacing w:before="0" w:after="0"/>
            </w:pPr>
            <w:r>
              <w:rPr>
                <w:rFonts w:ascii="Calibri" w:hAnsi="Calibri"/>
                <w:b w:val="0"/>
                <w:sz w:val="22"/>
              </w:rPr>
              <w:t>A. Metoklopramid</w:t>
            </w:r>
          </w:p>
          <w:p>
            <w:pPr>
              <w:spacing w:before="0" w:after="0"/>
            </w:pPr>
            <w:r>
              <w:rPr>
                <w:rFonts w:ascii="Calibri" w:hAnsi="Calibri"/>
                <w:b w:val="0"/>
                <w:sz w:val="22"/>
              </w:rPr>
              <w:t>B. Ondansetron</w:t>
            </w:r>
          </w:p>
          <w:p>
            <w:pPr>
              <w:spacing w:before="0" w:after="0"/>
            </w:pPr>
            <w:r>
              <w:rPr>
                <w:rFonts w:ascii="Calibri" w:hAnsi="Calibri"/>
                <w:b w:val="0"/>
                <w:sz w:val="22"/>
              </w:rPr>
              <w:t>C. Doxylamine-pyridoxine</w:t>
            </w:r>
          </w:p>
          <w:p>
            <w:pPr>
              <w:spacing w:before="0" w:after="0"/>
            </w:pPr>
            <w:r>
              <w:rPr>
                <w:rFonts w:ascii="Calibri" w:hAnsi="Calibri"/>
                <w:b w:val="0"/>
                <w:sz w:val="22"/>
              </w:rPr>
              <w:t>D. Domperidone</w:t>
            </w:r>
          </w:p>
          <w:p>
            <w:pPr>
              <w:spacing w:before="0" w:after="0"/>
            </w:pPr>
            <w:r>
              <w:rPr>
                <w:rFonts w:ascii="Calibri" w:hAnsi="Calibri"/>
                <w:b w:val="0"/>
                <w:sz w:val="22"/>
              </w:rPr>
              <w:t>E. Promethazine</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Pembahasan: Doxylamine-pyridoxine adalah kombinasi yang direkomendasikan sebagai terapi lini pertama untuk mual dan muntah pada kehamilan (NVP), terutama ketika perubahan gaya hidup dan non-farmakologis tidak memberikan perbaikan yang cukup. Kombinasi ini telah terbukti aman dan efektif untuk digunakan selama kehamilan.</w:t>
            </w:r>
          </w:p>
        </w:tc>
      </w:tr>
      <w:tr>
        <w:tc>
          <w:tcPr>
            <w:tcW w:type="dxa" w:w="720"/>
            <w:vAlign w:val="top"/>
          </w:tcPr>
          <w:p>
            <w:pPr>
              <w:spacing w:before="0" w:after="0"/>
              <w:jc w:val="center"/>
            </w:pPr>
            <w:r>
              <w:rPr>
                <w:rFonts w:ascii="Calibri" w:hAnsi="Calibri"/>
                <w:b w:val="0"/>
                <w:sz w:val="22"/>
              </w:rPr>
              <w:t>31</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pelaut berusia 30 tahun akan bertugas di kapal selama seminggu. Ia sering mengalami mual, pusing, dan muntah saat berada di laut. Pasien tidak memiliki riwayat penyakit kronis dan tidak sedang mengonsumsi obat lain. Obat apakah yang paling tepat direkomendasikan untuk mencegah gejala mabuk lautnya?</w:t>
            </w:r>
          </w:p>
          <w:p>
            <w:pPr>
              <w:spacing w:before="0" w:after="0"/>
            </w:pPr>
            <w:r>
              <w:rPr>
                <w:rFonts w:ascii="Calibri" w:hAnsi="Calibri"/>
                <w:b w:val="0"/>
                <w:sz w:val="22"/>
              </w:rPr>
              <w:t>A. Ondansetron</w:t>
            </w:r>
          </w:p>
          <w:p>
            <w:pPr>
              <w:spacing w:before="0" w:after="0"/>
            </w:pPr>
            <w:r>
              <w:rPr>
                <w:rFonts w:ascii="Calibri" w:hAnsi="Calibri"/>
                <w:b w:val="0"/>
                <w:sz w:val="22"/>
              </w:rPr>
              <w:t>B. Metoklopramid</w:t>
            </w:r>
          </w:p>
          <w:p>
            <w:pPr>
              <w:spacing w:before="0" w:after="0"/>
            </w:pPr>
            <w:r>
              <w:rPr>
                <w:rFonts w:ascii="Calibri" w:hAnsi="Calibri"/>
                <w:b w:val="0"/>
                <w:sz w:val="22"/>
              </w:rPr>
              <w:t>C. Dimenhidrinat</w:t>
            </w:r>
          </w:p>
          <w:p>
            <w:pPr>
              <w:spacing w:before="0" w:after="0"/>
            </w:pPr>
            <w:r>
              <w:rPr>
                <w:rFonts w:ascii="Calibri" w:hAnsi="Calibri"/>
                <w:b w:val="0"/>
                <w:sz w:val="22"/>
              </w:rPr>
              <w:t>D. Domperidon</w:t>
            </w:r>
          </w:p>
          <w:p>
            <w:pPr>
              <w:spacing w:before="0" w:after="0"/>
            </w:pPr>
            <w:r>
              <w:rPr>
                <w:rFonts w:ascii="Calibri" w:hAnsi="Calibri"/>
                <w:b w:val="0"/>
                <w:sz w:val="22"/>
              </w:rPr>
              <w:t>E. Loperamid</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Pembahasan: Mabuk laut adalah bentuk mabuk perjalanan yang disebabkan oleh ketidaksesuaian sinyal sensorik. Dimenhidrinat, sebagai antihistamin generasi pertama, bekerja dengan menghambat reseptor H1 di sistem vestibular telinga bagian dalam, yang merupakan pusat keseimbangan dan berperan penting dalam memicu gejala mabuk perjalanan. Pemberian obat ini secara profilaksis sangat efektif.</w:t>
            </w:r>
          </w:p>
        </w:tc>
      </w:tr>
      <w:tr>
        <w:tc>
          <w:tcPr>
            <w:tcW w:type="dxa" w:w="720"/>
            <w:vAlign w:val="top"/>
          </w:tcPr>
          <w:p>
            <w:pPr>
              <w:spacing w:before="0" w:after="0"/>
              <w:jc w:val="center"/>
            </w:pPr>
            <w:r>
              <w:rPr>
                <w:rFonts w:ascii="Calibri" w:hAnsi="Calibri"/>
                <w:b w:val="0"/>
                <w:sz w:val="22"/>
              </w:rPr>
              <w:t>32</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pria berusia 55 tahun dengan riwayat diabetes melitus tipe 2 mengeluhkan mual, muntah, dan rasa cepat kenyang setelah makan, disertai gejala refluks asam. Dokter mendiagnosis gastroparesis diabetik dan GERD. Selain terapi untuk diabetes dan PPI untuk GERD, dokter menambahkan metoclopramide. Apa efek farmakologis utama metoclopramide yang paling relevan untuk kondisi pasien ini?</w:t>
            </w:r>
          </w:p>
          <w:p>
            <w:pPr>
              <w:spacing w:before="0" w:after="0"/>
            </w:pPr>
            <w:r>
              <w:rPr>
                <w:rFonts w:ascii="Calibri" w:hAnsi="Calibri"/>
                <w:b w:val="0"/>
                <w:sz w:val="22"/>
              </w:rPr>
              <w:t>A. Menghambat sekresi asam lambung melalui reseptor H2.</w:t>
            </w:r>
          </w:p>
          <w:p>
            <w:pPr>
              <w:spacing w:before="0" w:after="0"/>
            </w:pPr>
            <w:r>
              <w:rPr>
                <w:rFonts w:ascii="Calibri" w:hAnsi="Calibri"/>
                <w:b w:val="0"/>
                <w:sz w:val="22"/>
              </w:rPr>
              <w:t>B. Mempercepat pengosongan lambung dan meningkatkan tonus LES.</w:t>
            </w:r>
          </w:p>
          <w:p>
            <w:pPr>
              <w:spacing w:before="0" w:after="0"/>
            </w:pPr>
            <w:r>
              <w:rPr>
                <w:rFonts w:ascii="Calibri" w:hAnsi="Calibri"/>
                <w:b w:val="0"/>
                <w:sz w:val="22"/>
              </w:rPr>
              <w:t>C. Melindungi mukosa lambung dengan membentuk lapisan pelindung.</w:t>
            </w:r>
          </w:p>
          <w:p>
            <w:pPr>
              <w:spacing w:before="0" w:after="0"/>
            </w:pPr>
            <w:r>
              <w:rPr>
                <w:rFonts w:ascii="Calibri" w:hAnsi="Calibri"/>
                <w:b w:val="0"/>
                <w:sz w:val="22"/>
              </w:rPr>
              <w:t>D. Menghambat pompa proton H+/K+-ATPase.</w:t>
            </w:r>
          </w:p>
          <w:p>
            <w:pPr>
              <w:spacing w:before="0" w:after="0"/>
            </w:pPr>
            <w:r>
              <w:rPr>
                <w:rFonts w:ascii="Calibri" w:hAnsi="Calibri"/>
                <w:b w:val="0"/>
                <w:sz w:val="22"/>
              </w:rPr>
              <w:t>E. Mengurangi spasme otot polos saluran cerna.</w:t>
            </w:r>
          </w:p>
        </w:tc>
        <w:tc>
          <w:tcPr>
            <w:tcW w:type="dxa" w:w="3312"/>
            <w:vAlign w:val="top"/>
          </w:tcPr>
          <w:p>
            <w:pPr>
              <w:spacing w:before="0" w:after="0"/>
              <w:jc w:val="left"/>
            </w:pPr>
            <w:r>
              <w:rPr>
                <w:rFonts w:ascii="Calibri" w:hAnsi="Calibri"/>
                <w:b w:val="0"/>
                <w:sz w:val="22"/>
              </w:rPr>
              <w:t>Jawaban: B</w:t>
            </w:r>
          </w:p>
          <w:p>
            <w:pPr>
              <w:spacing w:before="0" w:after="0"/>
            </w:pPr>
            <w:r>
              <w:rPr>
                <w:rFonts w:ascii="Calibri" w:hAnsi="Calibri"/>
                <w:b w:val="0"/>
                <w:sz w:val="22"/>
              </w:rPr>
            </w:r>
          </w:p>
          <w:p>
            <w:pPr>
              <w:spacing w:before="0" w:after="0"/>
            </w:pPr>
            <w:r>
              <w:rPr>
                <w:rFonts w:ascii="Calibri" w:hAnsi="Calibri"/>
                <w:b w:val="0"/>
                <w:sz w:val="22"/>
              </w:rPr>
              <w:t>Pembahasan: Metoclopramide adalah obat prokinetik yang bekerja sebagai antagonis reseptor dopamin D2. Dalam kasus gastroparesis, metoclopramide mempercepat pengosongan lambung yang melambat. Selain itu, pada GERD, metoclopramide meningkatkan tekanan Lower Esophageal Sphincter (LES), sehingga mengurangi refluks isi lambung ke esofagus. Pilihan B secara tepat menjelaskan kedua efek ini yang relevan untuk kondisi pasien.</w:t>
            </w:r>
          </w:p>
        </w:tc>
      </w:tr>
      <w:tr>
        <w:tc>
          <w:tcPr>
            <w:tcW w:type="dxa" w:w="720"/>
            <w:vAlign w:val="top"/>
          </w:tcPr>
          <w:p>
            <w:pPr>
              <w:spacing w:before="0" w:after="0"/>
              <w:jc w:val="center"/>
            </w:pPr>
            <w:r>
              <w:rPr>
                <w:rFonts w:ascii="Calibri" w:hAnsi="Calibri"/>
                <w:b w:val="0"/>
                <w:sz w:val="22"/>
              </w:rPr>
              <w:t>33</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pasien laki-laki berusia 45 tahun dengan diagnosis limfoma mendapatkan terapi doxorubicin. Diketahui dosis doxorubicin adalah 50 mg/m². Jika berat badan pasien 70 kg dan tinggi badan 170 cm, berapa dosis doxorubicin yang harus diberikan kepada pasien tersebut?</w:t>
            </w:r>
          </w:p>
          <w:p>
            <w:pPr>
              <w:spacing w:before="0" w:after="0"/>
            </w:pPr>
            <w:r>
              <w:rPr>
                <w:rFonts w:ascii="Calibri" w:hAnsi="Calibri"/>
                <w:b w:val="0"/>
                <w:sz w:val="22"/>
              </w:rPr>
              <w:t>A. 75,5 mg</w:t>
            </w:r>
          </w:p>
          <w:p>
            <w:pPr>
              <w:spacing w:before="0" w:after="0"/>
            </w:pPr>
            <w:r>
              <w:rPr>
                <w:rFonts w:ascii="Calibri" w:hAnsi="Calibri"/>
                <w:b w:val="0"/>
                <w:sz w:val="22"/>
              </w:rPr>
              <w:t>B. 82,3 mg</w:t>
            </w:r>
          </w:p>
          <w:p>
            <w:pPr>
              <w:spacing w:before="0" w:after="0"/>
            </w:pPr>
            <w:r>
              <w:rPr>
                <w:rFonts w:ascii="Calibri" w:hAnsi="Calibri"/>
                <w:b w:val="0"/>
                <w:sz w:val="22"/>
              </w:rPr>
              <w:t>C. 90,9 mg</w:t>
            </w:r>
          </w:p>
          <w:p>
            <w:pPr>
              <w:spacing w:before="0" w:after="0"/>
            </w:pPr>
            <w:r>
              <w:rPr>
                <w:rFonts w:ascii="Calibri" w:hAnsi="Calibri"/>
                <w:b w:val="0"/>
                <w:sz w:val="22"/>
              </w:rPr>
              <w:t>D. 98,5 mg</w:t>
            </w:r>
          </w:p>
          <w:p>
            <w:pPr>
              <w:spacing w:before="0" w:after="0"/>
            </w:pPr>
            <w:r>
              <w:rPr>
                <w:rFonts w:ascii="Calibri" w:hAnsi="Calibri"/>
                <w:b w:val="0"/>
                <w:sz w:val="22"/>
              </w:rPr>
              <w:t>E. 105,2 mg</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 xml:space="preserve">Pembahasan: </w:t>
            </w:r>
          </w:p>
        </w:tc>
      </w:tr>
      <w:tr>
        <w:tc>
          <w:tcPr>
            <w:tcW w:type="dxa" w:w="720"/>
            <w:vAlign w:val="top"/>
          </w:tcPr>
          <w:p>
            <w:pPr>
              <w:spacing w:before="0" w:after="0"/>
              <w:jc w:val="center"/>
            </w:pPr>
            <w:r>
              <w:rPr>
                <w:rFonts w:ascii="Calibri" w:hAnsi="Calibri"/>
                <w:b w:val="0"/>
                <w:sz w:val="22"/>
              </w:rPr>
              <w:t>34</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pria berusia 65 tahun dengan berat badan 70 kg memiliki nilai serum kreatinin 2,0 mg/dL. Berapa nilai klirens kreatinin pasien tersebut?</w:t>
            </w:r>
          </w:p>
          <w:p>
            <w:pPr>
              <w:spacing w:before="0" w:after="0"/>
            </w:pPr>
            <w:r>
              <w:rPr>
                <w:rFonts w:ascii="Calibri" w:hAnsi="Calibri"/>
                <w:b w:val="0"/>
                <w:sz w:val="22"/>
              </w:rPr>
              <w:t>A. 28,46 mL/menit</w:t>
            </w:r>
          </w:p>
          <w:p>
            <w:pPr>
              <w:spacing w:before="0" w:after="0"/>
            </w:pPr>
            <w:r>
              <w:rPr>
                <w:rFonts w:ascii="Calibri" w:hAnsi="Calibri"/>
                <w:b w:val="0"/>
                <w:sz w:val="22"/>
              </w:rPr>
              <w:t>B. 36,46 mL/menit</w:t>
            </w:r>
          </w:p>
          <w:p>
            <w:pPr>
              <w:spacing w:before="0" w:after="0"/>
            </w:pPr>
            <w:r>
              <w:rPr>
                <w:rFonts w:ascii="Calibri" w:hAnsi="Calibri"/>
                <w:b w:val="0"/>
                <w:sz w:val="22"/>
              </w:rPr>
              <w:t>C. 42,15 mL/menit</w:t>
            </w:r>
          </w:p>
          <w:p>
            <w:pPr>
              <w:spacing w:before="0" w:after="0"/>
            </w:pPr>
            <w:r>
              <w:rPr>
                <w:rFonts w:ascii="Calibri" w:hAnsi="Calibri"/>
                <w:b w:val="0"/>
                <w:sz w:val="22"/>
              </w:rPr>
              <w:t>D. 50,32 mL/menit</w:t>
            </w:r>
          </w:p>
          <w:p>
            <w:pPr>
              <w:spacing w:before="0" w:after="0"/>
            </w:pPr>
            <w:r>
              <w:rPr>
                <w:rFonts w:ascii="Calibri" w:hAnsi="Calibri"/>
                <w:b w:val="0"/>
                <w:sz w:val="22"/>
              </w:rPr>
              <w:t>E. 60,25 mL/menit</w:t>
            </w:r>
          </w:p>
        </w:tc>
        <w:tc>
          <w:tcPr>
            <w:tcW w:type="dxa" w:w="3312"/>
            <w:vAlign w:val="top"/>
          </w:tcPr>
          <w:p>
            <w:pPr>
              <w:spacing w:before="0" w:after="0"/>
              <w:jc w:val="left"/>
            </w:pPr>
            <w:r>
              <w:rPr>
                <w:rFonts w:ascii="Calibri" w:hAnsi="Calibri"/>
                <w:b w:val="0"/>
                <w:sz w:val="22"/>
              </w:rPr>
              <w:t>Jawaban: B</w:t>
            </w:r>
          </w:p>
          <w:p>
            <w:pPr>
              <w:spacing w:before="0" w:after="0"/>
            </w:pPr>
            <w:r>
              <w:rPr>
                <w:rFonts w:ascii="Calibri" w:hAnsi="Calibri"/>
                <w:b w:val="0"/>
                <w:sz w:val="22"/>
              </w:rPr>
            </w:r>
          </w:p>
          <w:p>
            <w:pPr>
              <w:spacing w:before="0" w:after="0"/>
            </w:pPr>
            <w:r>
              <w:rPr>
                <w:rFonts w:ascii="Calibri" w:hAnsi="Calibri"/>
                <w:b w:val="0"/>
                <w:sz w:val="22"/>
              </w:rPr>
              <w:t xml:space="preserve">Pembahasan: </w:t>
            </w:r>
          </w:p>
        </w:tc>
      </w:tr>
      <w:tr>
        <w:tc>
          <w:tcPr>
            <w:tcW w:type="dxa" w:w="720"/>
            <w:vAlign w:val="top"/>
          </w:tcPr>
          <w:p>
            <w:pPr>
              <w:spacing w:before="0" w:after="0"/>
              <w:jc w:val="center"/>
            </w:pPr>
            <w:r>
              <w:rPr>
                <w:rFonts w:ascii="Calibri" w:hAnsi="Calibri"/>
                <w:b w:val="0"/>
                <w:sz w:val="22"/>
              </w:rPr>
              <w:t>35</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pasien pria berusia 25 tahun mengeluhkan sulit BAB. Setiap kali merasakan rangsangan defekasi tidak ada feses yang bisa dikeluarkan. Obat apa yang bisa diberikan kepada pria tersebut?</w:t>
            </w:r>
          </w:p>
          <w:p>
            <w:pPr>
              <w:spacing w:before="0" w:after="0"/>
            </w:pPr>
            <w:r>
              <w:rPr>
                <w:rFonts w:ascii="Calibri" w:hAnsi="Calibri"/>
                <w:b w:val="0"/>
                <w:sz w:val="22"/>
              </w:rPr>
              <w:t>A. Loperamid</w:t>
            </w:r>
          </w:p>
          <w:p>
            <w:pPr>
              <w:spacing w:before="0" w:after="0"/>
            </w:pPr>
            <w:r>
              <w:rPr>
                <w:rFonts w:ascii="Calibri" w:hAnsi="Calibri"/>
                <w:b w:val="0"/>
                <w:sz w:val="22"/>
              </w:rPr>
              <w:t>B. Karbon Aktif</w:t>
            </w:r>
          </w:p>
          <w:p>
            <w:pPr>
              <w:spacing w:before="0" w:after="0"/>
            </w:pPr>
            <w:r>
              <w:rPr>
                <w:rFonts w:ascii="Calibri" w:hAnsi="Calibri"/>
                <w:b w:val="0"/>
                <w:sz w:val="22"/>
              </w:rPr>
              <w:t>C. Oralit</w:t>
            </w:r>
          </w:p>
          <w:p>
            <w:pPr>
              <w:spacing w:before="0" w:after="0"/>
            </w:pPr>
            <w:r>
              <w:rPr>
                <w:rFonts w:ascii="Calibri" w:hAnsi="Calibri"/>
                <w:b w:val="0"/>
                <w:sz w:val="22"/>
              </w:rPr>
              <w:t>D. Bisakodil</w:t>
            </w:r>
          </w:p>
          <w:p>
            <w:pPr>
              <w:spacing w:before="0" w:after="0"/>
            </w:pPr>
            <w:r>
              <w:rPr>
                <w:rFonts w:ascii="Calibri" w:hAnsi="Calibri"/>
                <w:b w:val="0"/>
                <w:sz w:val="22"/>
              </w:rPr>
              <w:t>E. Oke um Ricini</w:t>
            </w:r>
          </w:p>
        </w:tc>
        <w:tc>
          <w:tcPr>
            <w:tcW w:type="dxa" w:w="3312"/>
            <w:vAlign w:val="top"/>
          </w:tcPr>
          <w:p>
            <w:pPr>
              <w:spacing w:before="0" w:after="0"/>
              <w:jc w:val="left"/>
            </w:pPr>
            <w:r>
              <w:rPr>
                <w:rFonts w:ascii="Calibri" w:hAnsi="Calibri"/>
                <w:b w:val="0"/>
                <w:sz w:val="22"/>
              </w:rPr>
              <w:t>Jawaban: D</w:t>
            </w:r>
          </w:p>
          <w:p>
            <w:pPr>
              <w:spacing w:before="0" w:after="0"/>
            </w:pPr>
            <w:r>
              <w:rPr>
                <w:rFonts w:ascii="Calibri" w:hAnsi="Calibri"/>
                <w:b w:val="0"/>
                <w:sz w:val="22"/>
              </w:rPr>
            </w:r>
          </w:p>
          <w:p>
            <w:pPr>
              <w:spacing w:before="0" w:after="0"/>
            </w:pPr>
            <w:r>
              <w:rPr>
                <w:rFonts w:ascii="Calibri" w:hAnsi="Calibri"/>
                <w:b w:val="0"/>
                <w:sz w:val="22"/>
              </w:rPr>
              <w:t>Pembahasan: Keluhan pasien mengarah ke konstipasi/sembelit, yaitu sulit buang air besar meskipun sudah ada rasa ingin defekasi. Dari pilihan yang tersedia, obat yang paling tepat adalah bisakodil.</w:t>
              <w:br/>
              <w:t>Bisakodil adalah laksatif stimulan. Obat ini bekerja dengan merangsang pleksus saraf di usus dan meningkatkan motilitas/peristaltik usus, sehingga membantu pengeluaran feses. Merck Manual menyebut bisakodil sebagai obat yang efektif untuk konstipasi, dan laksatif stimulan bekerja dengan mengiritasi mukosa usus atau menstimulasi pleksus submukosa dan mienterikus.</w:t>
            </w:r>
          </w:p>
        </w:tc>
      </w:tr>
      <w:tr>
        <w:tc>
          <w:tcPr>
            <w:tcW w:type="dxa" w:w="720"/>
            <w:vAlign w:val="top"/>
          </w:tcPr>
          <w:p>
            <w:pPr>
              <w:spacing w:before="0" w:after="0"/>
              <w:jc w:val="center"/>
            </w:pPr>
            <w:r>
              <w:rPr>
                <w:rFonts w:ascii="Calibri" w:hAnsi="Calibri"/>
                <w:b w:val="0"/>
                <w:sz w:val="22"/>
              </w:rPr>
              <w:t>36</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wanita berusia 48 tahun dengan riwayat hipertensi datang ke apotek karena bersin-bersin, hidung berair, dan gatal pada hidung sejak 3 hari terakhir. Tekanan darah terakhir pasien 150/90 mmHg. Pasien ingin membeli obat rhinitis alergi yang aman untuk hipertensinya. Obat manakah yang paling tepat direkomendasikan?</w:t>
            </w:r>
          </w:p>
          <w:p>
            <w:pPr>
              <w:spacing w:before="0" w:after="0"/>
            </w:pPr>
            <w:r>
              <w:rPr>
                <w:rFonts w:ascii="Calibri" w:hAnsi="Calibri"/>
                <w:b w:val="0"/>
                <w:sz w:val="22"/>
              </w:rPr>
              <w:t>A. Pseudoefedrin</w:t>
            </w:r>
          </w:p>
          <w:p>
            <w:pPr>
              <w:spacing w:before="0" w:after="0"/>
            </w:pPr>
            <w:r>
              <w:rPr>
                <w:rFonts w:ascii="Calibri" w:hAnsi="Calibri"/>
                <w:b w:val="0"/>
                <w:sz w:val="22"/>
              </w:rPr>
              <w:t>B. Efedrin HCl</w:t>
            </w:r>
          </w:p>
          <w:p>
            <w:pPr>
              <w:spacing w:before="0" w:after="0"/>
            </w:pPr>
            <w:r>
              <w:rPr>
                <w:rFonts w:ascii="Calibri" w:hAnsi="Calibri"/>
                <w:b w:val="0"/>
                <w:sz w:val="22"/>
              </w:rPr>
              <w:t>C. Fenilefrin</w:t>
            </w:r>
          </w:p>
          <w:p>
            <w:pPr>
              <w:spacing w:before="0" w:after="0"/>
            </w:pPr>
            <w:r>
              <w:rPr>
                <w:rFonts w:ascii="Calibri" w:hAnsi="Calibri"/>
                <w:b w:val="0"/>
                <w:sz w:val="22"/>
              </w:rPr>
              <w:t>D. Loratadin</w:t>
            </w:r>
          </w:p>
          <w:p>
            <w:pPr>
              <w:spacing w:before="0" w:after="0"/>
            </w:pPr>
            <w:r>
              <w:rPr>
                <w:rFonts w:ascii="Calibri" w:hAnsi="Calibri"/>
                <w:b w:val="0"/>
                <w:sz w:val="22"/>
              </w:rPr>
              <w:t>E. Fenilpropanolamin</w:t>
            </w:r>
          </w:p>
        </w:tc>
        <w:tc>
          <w:tcPr>
            <w:tcW w:type="dxa" w:w="3312"/>
            <w:vAlign w:val="top"/>
          </w:tcPr>
          <w:p>
            <w:pPr>
              <w:spacing w:before="0" w:after="0"/>
              <w:jc w:val="left"/>
            </w:pPr>
            <w:r>
              <w:rPr>
                <w:rFonts w:ascii="Calibri" w:hAnsi="Calibri"/>
                <w:b w:val="0"/>
                <w:sz w:val="22"/>
              </w:rPr>
              <w:t>Jawaban: D</w:t>
            </w:r>
          </w:p>
          <w:p>
            <w:pPr>
              <w:spacing w:before="0" w:after="0"/>
            </w:pPr>
            <w:r>
              <w:rPr>
                <w:rFonts w:ascii="Calibri" w:hAnsi="Calibri"/>
                <w:b w:val="0"/>
                <w:sz w:val="22"/>
              </w:rPr>
            </w:r>
          </w:p>
          <w:p>
            <w:pPr>
              <w:spacing w:before="0" w:after="0"/>
            </w:pPr>
            <w:r>
              <w:rPr>
                <w:rFonts w:ascii="Calibri" w:hAnsi="Calibri"/>
                <w:b w:val="0"/>
                <w:sz w:val="22"/>
              </w:rPr>
              <w:t>Pembahasan: Loratadin adalah antihistamin generasi kedua yang dapat digunakan untuk gejala rhinitis alergi seperti bersin, hidung berair, dan gatal. Obat ini tidak termasuk dekongestan simpatomimetik, sehingga lebih aman pada pasien hipertensi dibanding pseudoefedrin, fenilefrin, efedrin, atau fenilpropanolamin. Antihistamin generasi kedua juga lebih disukai karena efek sedasinya lebih rendah dibanding antihistamin generasi pertama.</w:t>
            </w:r>
          </w:p>
        </w:tc>
      </w:tr>
      <w:tr>
        <w:tc>
          <w:tcPr>
            <w:tcW w:type="dxa" w:w="720"/>
            <w:vAlign w:val="top"/>
          </w:tcPr>
          <w:p>
            <w:pPr>
              <w:spacing w:before="0" w:after="0"/>
              <w:jc w:val="center"/>
            </w:pPr>
            <w:r>
              <w:rPr>
                <w:rFonts w:ascii="Calibri" w:hAnsi="Calibri"/>
                <w:b w:val="0"/>
                <w:sz w:val="22"/>
              </w:rPr>
              <w:t>37</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petani laki-laki berusia 46 tahun dibawa ke IGD setelah menyemprot pestisida tanpa alat pelindung diri. Pasien tampak lemas, berkeringat banyak, miosis, air liur berlebihan, sesak napas, bradikardia, muntah, diare, serta terdapat fasikulasi otot. Dokter mendiagnosis pasien mengalami keracunan organofosfat. Antidotum yang paling tepat diberikan adalah?</w:t>
            </w:r>
          </w:p>
          <w:p>
            <w:pPr>
              <w:spacing w:before="0" w:after="0"/>
            </w:pPr>
            <w:r>
              <w:rPr>
                <w:rFonts w:ascii="Calibri" w:hAnsi="Calibri"/>
                <w:b w:val="0"/>
                <w:sz w:val="22"/>
              </w:rPr>
              <w:t>A. Nalokson</w:t>
            </w:r>
          </w:p>
          <w:p>
            <w:pPr>
              <w:spacing w:before="0" w:after="0"/>
            </w:pPr>
            <w:r>
              <w:rPr>
                <w:rFonts w:ascii="Calibri" w:hAnsi="Calibri"/>
                <w:b w:val="0"/>
                <w:sz w:val="22"/>
              </w:rPr>
              <w:t>B. Flumazenil</w:t>
            </w:r>
          </w:p>
          <w:p>
            <w:pPr>
              <w:spacing w:before="0" w:after="0"/>
            </w:pPr>
            <w:r>
              <w:rPr>
                <w:rFonts w:ascii="Calibri" w:hAnsi="Calibri"/>
                <w:b w:val="0"/>
                <w:sz w:val="22"/>
              </w:rPr>
              <w:t>C. Atropin-pralidoksim</w:t>
            </w:r>
          </w:p>
          <w:p>
            <w:pPr>
              <w:spacing w:before="0" w:after="0"/>
            </w:pPr>
            <w:r>
              <w:rPr>
                <w:rFonts w:ascii="Calibri" w:hAnsi="Calibri"/>
                <w:b w:val="0"/>
                <w:sz w:val="22"/>
              </w:rPr>
              <w:t>D. NAC</w:t>
            </w:r>
          </w:p>
          <w:p>
            <w:pPr>
              <w:spacing w:before="0" w:after="0"/>
            </w:pPr>
            <w:r>
              <w:rPr>
                <w:rFonts w:ascii="Calibri" w:hAnsi="Calibri"/>
                <w:b w:val="0"/>
                <w:sz w:val="22"/>
              </w:rPr>
              <w:t>E. Dimercaprol</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Pembahasan: Keracunan organofosfat menyebabkan hambatan asetilkolinesterase sehingga asetilkolin menumpuk. Gejalanya berupa efek kolinergik: miosis, hipersalivasi, bronkorea, bronkospasme, bradikardia, muntah, diare, serta gejala nikotinik seperti fasikulasi dan kelemahan otot. Terapi utama adalah atropin untuk mengatasi efek muskarinik seperti sekresi dan bronkospasme, serta pralidoksim untuk membantu reaktivasi asetilkolinesterase, terutama bila diberikan dini. NCBI StatPearls dan MSD Manual menyebut atropin sebagai terapi utama, dan pralidoksim digunakan untuk gejala neuromuskular pada keracunan organofosfat</w:t>
            </w:r>
          </w:p>
        </w:tc>
      </w:tr>
      <w:tr>
        <w:tc>
          <w:tcPr>
            <w:tcW w:type="dxa" w:w="720"/>
            <w:vAlign w:val="top"/>
          </w:tcPr>
          <w:p>
            <w:pPr>
              <w:spacing w:before="0" w:after="0"/>
              <w:jc w:val="center"/>
            </w:pPr>
            <w:r>
              <w:rPr>
                <w:rFonts w:ascii="Calibri" w:hAnsi="Calibri"/>
                <w:b w:val="0"/>
                <w:sz w:val="22"/>
              </w:rPr>
              <w:t>38</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pria berusia 66 tahun memiliki riwayat stroke iskemik dan rutin mengonsumsi clopidogrel. Karena keluhan dispepsia, ia membeli omeprazole di apotek. Apoteker menyarankan agar penggunaan omeprazole dikonsultasikan karena dapat menurunkan efek clopidogrel. Mekanisme interaksi yang paling tepat adalah?</w:t>
            </w:r>
          </w:p>
          <w:p>
            <w:pPr>
              <w:spacing w:before="0" w:after="0"/>
            </w:pPr>
            <w:r>
              <w:rPr>
                <w:rFonts w:ascii="Calibri" w:hAnsi="Calibri"/>
                <w:b w:val="0"/>
                <w:sz w:val="22"/>
              </w:rPr>
              <w:t>A. Omeprazole menghambat aktivasi clopidogrel sehingga metabolit aktif clopidogrel menurun</w:t>
            </w:r>
          </w:p>
          <w:p>
            <w:pPr>
              <w:spacing w:before="0" w:after="0"/>
            </w:pPr>
            <w:r>
              <w:rPr>
                <w:rFonts w:ascii="Calibri" w:hAnsi="Calibri"/>
                <w:b w:val="0"/>
                <w:sz w:val="22"/>
              </w:rPr>
              <w:t>B. Clopidogrel meningkatkan efek omeprazole melalui induksi CYP2C19</w:t>
            </w:r>
          </w:p>
          <w:p>
            <w:pPr>
              <w:spacing w:before="0" w:after="0"/>
            </w:pPr>
            <w:r>
              <w:rPr>
                <w:rFonts w:ascii="Calibri" w:hAnsi="Calibri"/>
                <w:b w:val="0"/>
                <w:sz w:val="22"/>
              </w:rPr>
              <w:t>C. Omeprazole meningkatkan absorpsi clopidogrel sehingga risiko perdarahan meningkat</w:t>
            </w:r>
          </w:p>
          <w:p>
            <w:pPr>
              <w:spacing w:before="0" w:after="0"/>
            </w:pPr>
            <w:r>
              <w:rPr>
                <w:rFonts w:ascii="Calibri" w:hAnsi="Calibri"/>
                <w:b w:val="0"/>
                <w:sz w:val="22"/>
              </w:rPr>
              <w:t>D. Clopidogrel menurunkan absorpsi omeprazole</w:t>
            </w:r>
          </w:p>
          <w:p>
            <w:pPr>
              <w:spacing w:before="0" w:after="0"/>
            </w:pPr>
            <w:r>
              <w:rPr>
                <w:rFonts w:ascii="Calibri" w:hAnsi="Calibri"/>
                <w:b w:val="0"/>
                <w:sz w:val="22"/>
              </w:rPr>
              <w:t>E. Omeprazole meningkatkan ekskresi clopidogrel melalui ginjal</w:t>
            </w:r>
          </w:p>
        </w:tc>
        <w:tc>
          <w:tcPr>
            <w:tcW w:type="dxa" w:w="3312"/>
            <w:vAlign w:val="top"/>
          </w:tcPr>
          <w:p>
            <w:pPr>
              <w:spacing w:before="0" w:after="0"/>
              <w:jc w:val="left"/>
            </w:pPr>
            <w:r>
              <w:rPr>
                <w:rFonts w:ascii="Calibri" w:hAnsi="Calibri"/>
                <w:b w:val="0"/>
                <w:sz w:val="22"/>
              </w:rPr>
              <w:t>Jawaban: A</w:t>
            </w:r>
          </w:p>
          <w:p>
            <w:pPr>
              <w:spacing w:before="0" w:after="0"/>
            </w:pPr>
            <w:r>
              <w:rPr>
                <w:rFonts w:ascii="Calibri" w:hAnsi="Calibri"/>
                <w:b w:val="0"/>
                <w:sz w:val="22"/>
              </w:rPr>
            </w:r>
          </w:p>
          <w:p>
            <w:pPr>
              <w:spacing w:before="0" w:after="0"/>
            </w:pPr>
            <w:r>
              <w:rPr>
                <w:rFonts w:ascii="Calibri" w:hAnsi="Calibri"/>
                <w:b w:val="0"/>
                <w:sz w:val="22"/>
              </w:rPr>
              <w:t>Pembahasan: Clopidogrel adalah prodrug yang perlu diaktifkan terutama oleh CYP2C19. Omeprazole menghambat CYP2C19, sehingga pembentukan metabolit aktif clopidogrel menurun dan efek antiplatelet dapat berkurang. Label clopidogrel menyarankan untuk menghindari penggunaan bersama omeprazole atau esomeprazole.</w:t>
            </w:r>
          </w:p>
        </w:tc>
      </w:tr>
      <w:tr>
        <w:tc>
          <w:tcPr>
            <w:tcW w:type="dxa" w:w="720"/>
            <w:vAlign w:val="top"/>
          </w:tcPr>
          <w:p>
            <w:pPr>
              <w:spacing w:before="0" w:after="0"/>
              <w:jc w:val="center"/>
            </w:pPr>
            <w:r>
              <w:rPr>
                <w:rFonts w:ascii="Calibri" w:hAnsi="Calibri"/>
                <w:b w:val="0"/>
                <w:sz w:val="22"/>
              </w:rPr>
              <w:t>39</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laki-laki umur 56 tahun mengeluh sakit perut sudah 3 hari, wajah pucat, dan melena. Dokter mendiagnosis pasien menderita bleeding peptic ulcer dan didukung dengan pemeriksaan H. pylori positif. Pasien alergi penisilin. Terapi apa yang tepat diberikan untuk kasus di atas?</w:t>
            </w:r>
          </w:p>
          <w:p>
            <w:pPr>
              <w:spacing w:before="0" w:after="0"/>
            </w:pPr>
            <w:r>
              <w:rPr>
                <w:rFonts w:ascii="Calibri" w:hAnsi="Calibri"/>
                <w:b w:val="0"/>
                <w:sz w:val="22"/>
              </w:rPr>
              <w:t>A. PPI + amoksisilin + klaritromisin</w:t>
            </w:r>
          </w:p>
          <w:p>
            <w:pPr>
              <w:spacing w:before="0" w:after="0"/>
            </w:pPr>
            <w:r>
              <w:rPr>
                <w:rFonts w:ascii="Calibri" w:hAnsi="Calibri"/>
                <w:b w:val="0"/>
                <w:sz w:val="22"/>
              </w:rPr>
              <w:t>B. PPI + metronidazol + klaritromisin</w:t>
            </w:r>
          </w:p>
          <w:p>
            <w:pPr>
              <w:spacing w:before="0" w:after="0"/>
            </w:pPr>
            <w:r>
              <w:rPr>
                <w:rFonts w:ascii="Calibri" w:hAnsi="Calibri"/>
                <w:b w:val="0"/>
                <w:sz w:val="22"/>
              </w:rPr>
              <w:t>C. PPI + ampisilin + klaritromisin</w:t>
            </w:r>
          </w:p>
          <w:p>
            <w:pPr>
              <w:spacing w:before="0" w:after="0"/>
            </w:pPr>
            <w:r>
              <w:rPr>
                <w:rFonts w:ascii="Calibri" w:hAnsi="Calibri"/>
                <w:b w:val="0"/>
                <w:sz w:val="22"/>
              </w:rPr>
              <w:t>D. PPI + amoksisilin + tetrasiklin</w:t>
            </w:r>
          </w:p>
          <w:p>
            <w:pPr>
              <w:spacing w:before="0" w:after="0"/>
            </w:pPr>
            <w:r>
              <w:rPr>
                <w:rFonts w:ascii="Calibri" w:hAnsi="Calibri"/>
                <w:b w:val="0"/>
                <w:sz w:val="22"/>
              </w:rPr>
              <w:t>E. PPI + ampisilin + tetrasiklin</w:t>
            </w:r>
          </w:p>
        </w:tc>
        <w:tc>
          <w:tcPr>
            <w:tcW w:type="dxa" w:w="3312"/>
            <w:vAlign w:val="top"/>
          </w:tcPr>
          <w:p>
            <w:pPr>
              <w:spacing w:before="0" w:after="0"/>
              <w:jc w:val="left"/>
            </w:pPr>
            <w:r>
              <w:rPr>
                <w:rFonts w:ascii="Calibri" w:hAnsi="Calibri"/>
                <w:b w:val="0"/>
                <w:sz w:val="22"/>
              </w:rPr>
              <w:t>Jawaban: B</w:t>
            </w:r>
          </w:p>
          <w:p>
            <w:pPr>
              <w:spacing w:before="0" w:after="0"/>
            </w:pPr>
            <w:r>
              <w:rPr>
                <w:rFonts w:ascii="Calibri" w:hAnsi="Calibri"/>
                <w:b w:val="0"/>
                <w:sz w:val="22"/>
              </w:rPr>
            </w:r>
          </w:p>
          <w:p>
            <w:pPr>
              <w:spacing w:before="0" w:after="0"/>
            </w:pPr>
            <w:r>
              <w:rPr>
                <w:rFonts w:ascii="Calibri" w:hAnsi="Calibri"/>
                <w:b w:val="0"/>
                <w:sz w:val="22"/>
              </w:rPr>
              <w:t>Pembahasan: Pada eradikasi H. pylori, regimen berbasis PPI dapat dikombinasikan dengan klaritromisin dan amoksisilin/metronidazol. Bila pasien alergi penisilin, amoksisilin diganti dengan metronidazol.</w:t>
            </w:r>
          </w:p>
        </w:tc>
      </w:tr>
      <w:tr>
        <w:tc>
          <w:tcPr>
            <w:tcW w:type="dxa" w:w="720"/>
            <w:vAlign w:val="top"/>
          </w:tcPr>
          <w:p>
            <w:pPr>
              <w:spacing w:before="0" w:after="0"/>
              <w:jc w:val="center"/>
            </w:pPr>
            <w:r>
              <w:rPr>
                <w:rFonts w:ascii="Calibri" w:hAnsi="Calibri"/>
                <w:b w:val="0"/>
                <w:sz w:val="22"/>
              </w:rPr>
              <w:t>40</w:t>
            </w:r>
          </w:p>
        </w:tc>
        <w:tc>
          <w:tcPr>
            <w:tcW w:type="dxa" w:w="1872"/>
            <w:vAlign w:val="top"/>
          </w:tcPr>
          <w:p>
            <w:pPr>
              <w:spacing w:before="0" w:after="0"/>
              <w:jc w:val="left"/>
            </w:pPr>
            <w:r>
              <w:rPr>
                <w:rFonts w:ascii="Calibri" w:hAnsi="Calibri"/>
                <w:b w:val="0"/>
                <w:sz w:val="22"/>
              </w:rPr>
            </w:r>
          </w:p>
        </w:tc>
        <w:tc>
          <w:tcPr>
            <w:tcW w:type="dxa" w:w="5616"/>
            <w:vAlign w:val="top"/>
          </w:tcPr>
          <w:p>
            <w:pPr>
              <w:spacing w:before="0" w:after="0"/>
              <w:jc w:val="left"/>
            </w:pPr>
            <w:r>
              <w:rPr>
                <w:rFonts w:ascii="Calibri" w:hAnsi="Calibri"/>
                <w:b w:val="0"/>
                <w:sz w:val="22"/>
              </w:rPr>
              <w:t>Seorang ibu ke apotek meminta obat untuk anaknya yang berusia 8 tahun. Diketahui anak tersebut memiliki gejala buang air besar 5 kali hari ini dan fesesnya cair. Kondisi pasien saat ini lemas karena sering buang air besar. Obat apa yang direkomendasikan oleh apoteker?</w:t>
            </w:r>
          </w:p>
          <w:p>
            <w:pPr>
              <w:spacing w:before="0" w:after="0"/>
            </w:pPr>
            <w:r>
              <w:rPr>
                <w:rFonts w:ascii="Calibri" w:hAnsi="Calibri"/>
                <w:b w:val="0"/>
                <w:sz w:val="22"/>
              </w:rPr>
              <w:t>A. Attapulgit dan loperamide</w:t>
            </w:r>
          </w:p>
          <w:p>
            <w:pPr>
              <w:spacing w:before="0" w:after="0"/>
            </w:pPr>
            <w:r>
              <w:rPr>
                <w:rFonts w:ascii="Calibri" w:hAnsi="Calibri"/>
                <w:b w:val="0"/>
                <w:sz w:val="22"/>
              </w:rPr>
              <w:t>B. Loperamide dan zinc</w:t>
            </w:r>
          </w:p>
          <w:p>
            <w:pPr>
              <w:spacing w:before="0" w:after="0"/>
            </w:pPr>
            <w:r>
              <w:rPr>
                <w:rFonts w:ascii="Calibri" w:hAnsi="Calibri"/>
                <w:b w:val="0"/>
                <w:sz w:val="22"/>
              </w:rPr>
              <w:t>C. Oralit dan zinc</w:t>
            </w:r>
          </w:p>
          <w:p>
            <w:pPr>
              <w:spacing w:before="0" w:after="0"/>
            </w:pPr>
            <w:r>
              <w:rPr>
                <w:rFonts w:ascii="Calibri" w:hAnsi="Calibri"/>
                <w:b w:val="0"/>
                <w:sz w:val="22"/>
              </w:rPr>
              <w:t>D. Probiotik dan loperamide</w:t>
            </w:r>
          </w:p>
          <w:p>
            <w:pPr>
              <w:spacing w:before="0" w:after="0"/>
            </w:pPr>
            <w:r>
              <w:rPr>
                <w:rFonts w:ascii="Calibri" w:hAnsi="Calibri"/>
                <w:b w:val="0"/>
                <w:sz w:val="22"/>
              </w:rPr>
              <w:t>E. Loperamide dan oralit</w:t>
            </w:r>
          </w:p>
        </w:tc>
        <w:tc>
          <w:tcPr>
            <w:tcW w:type="dxa" w:w="3312"/>
            <w:vAlign w:val="top"/>
          </w:tcPr>
          <w:p>
            <w:pPr>
              <w:spacing w:before="0" w:after="0"/>
              <w:jc w:val="left"/>
            </w:pPr>
            <w:r>
              <w:rPr>
                <w:rFonts w:ascii="Calibri" w:hAnsi="Calibri"/>
                <w:b w:val="0"/>
                <w:sz w:val="22"/>
              </w:rPr>
              <w:t>Jawaban: C</w:t>
            </w:r>
          </w:p>
          <w:p>
            <w:pPr>
              <w:spacing w:before="0" w:after="0"/>
            </w:pPr>
            <w:r>
              <w:rPr>
                <w:rFonts w:ascii="Calibri" w:hAnsi="Calibri"/>
                <w:b w:val="0"/>
                <w:sz w:val="22"/>
              </w:rPr>
            </w:r>
          </w:p>
          <w:p>
            <w:pPr>
              <w:spacing w:before="0" w:after="0"/>
            </w:pPr>
            <w:r>
              <w:rPr>
                <w:rFonts w:ascii="Calibri" w:hAnsi="Calibri"/>
                <w:b w:val="0"/>
                <w:sz w:val="22"/>
              </w:rPr>
              <w:t>Pembahasan: Tatalaksana utama diare akut pada anak adalah rehidrasi menggunakan oralit dan suplementasi zinc 10-14 hari. Pada anak &gt;6 bulan, zinc diberikan 20 mg/hari. Loperamide tidak menjadi pilihan utama pada anak karena risiko efek samping dan tidak mengatasi dehidrasi.</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