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562" w:rsidRPr="004D2562" w:rsidRDefault="004D2562" w:rsidP="004D2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562">
        <w:rPr>
          <w:rFonts w:ascii="Times New Roman" w:eastAsia="Times New Roman" w:hAnsi="Times New Roman" w:cs="Times New Roman"/>
          <w:sz w:val="24"/>
          <w:szCs w:val="24"/>
        </w:rPr>
        <w:t xml:space="preserve">Credit targets of the branch was achieved during the </w:t>
      </w:r>
      <w:proofErr w:type="gramStart"/>
      <w:r w:rsidRPr="004D2562">
        <w:rPr>
          <w:rFonts w:ascii="Times New Roman" w:eastAsia="Times New Roman" w:hAnsi="Times New Roman" w:cs="Times New Roman"/>
          <w:sz w:val="24"/>
          <w:szCs w:val="24"/>
        </w:rPr>
        <w:t>year .</w:t>
      </w:r>
      <w:proofErr w:type="gramEnd"/>
      <w:r w:rsidRPr="004D2562">
        <w:rPr>
          <w:rFonts w:ascii="Times New Roman" w:eastAsia="Times New Roman" w:hAnsi="Times New Roman" w:cs="Times New Roman"/>
          <w:sz w:val="24"/>
          <w:szCs w:val="24"/>
        </w:rPr>
        <w:t xml:space="preserve"> Handling portfolio amounting to </w:t>
      </w:r>
      <w:proofErr w:type="spellStart"/>
      <w:r w:rsidRPr="004D2562">
        <w:rPr>
          <w:rFonts w:ascii="Times New Roman" w:eastAsia="Times New Roman" w:hAnsi="Times New Roman" w:cs="Times New Roman"/>
          <w:sz w:val="24"/>
          <w:szCs w:val="24"/>
        </w:rPr>
        <w:t>Rs</w:t>
      </w:r>
      <w:proofErr w:type="spellEnd"/>
      <w:r w:rsidRPr="004D2562">
        <w:rPr>
          <w:rFonts w:ascii="Times New Roman" w:eastAsia="Times New Roman" w:hAnsi="Times New Roman" w:cs="Times New Roman"/>
          <w:sz w:val="24"/>
          <w:szCs w:val="24"/>
        </w:rPr>
        <w:t xml:space="preserve">. 46.05 cr. Performed the work related to fresh accounts sanctioned during the year i.e. their pre sanction appraisal, documentation, creation of Equitable Mortgage, entry in </w:t>
      </w:r>
      <w:proofErr w:type="spellStart"/>
      <w:r w:rsidRPr="004D2562">
        <w:rPr>
          <w:rFonts w:ascii="Times New Roman" w:eastAsia="Times New Roman" w:hAnsi="Times New Roman" w:cs="Times New Roman"/>
          <w:sz w:val="24"/>
          <w:szCs w:val="24"/>
        </w:rPr>
        <w:t>Cersai</w:t>
      </w:r>
      <w:proofErr w:type="spellEnd"/>
      <w:r w:rsidRPr="004D2562">
        <w:rPr>
          <w:rFonts w:ascii="Times New Roman" w:eastAsia="Times New Roman" w:hAnsi="Times New Roman" w:cs="Times New Roman"/>
          <w:sz w:val="24"/>
          <w:szCs w:val="24"/>
        </w:rPr>
        <w:t xml:space="preserve"> records &amp; reviewed the accounts assigned to me. </w:t>
      </w:r>
    </w:p>
    <w:p w:rsidR="00527EA7" w:rsidRDefault="00527EA7"/>
    <w:p w:rsidR="004D2562" w:rsidRPr="004D2562" w:rsidRDefault="004D2562" w:rsidP="004D2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562">
        <w:rPr>
          <w:rFonts w:ascii="Times New Roman" w:eastAsia="Times New Roman" w:hAnsi="Times New Roman" w:cs="Times New Roman"/>
          <w:sz w:val="24"/>
          <w:szCs w:val="24"/>
        </w:rPr>
        <w:t xml:space="preserve">Training to employees will help in growth of the branch. </w:t>
      </w:r>
    </w:p>
    <w:p w:rsidR="004D2562" w:rsidRDefault="004D2562"/>
    <w:tbl>
      <w:tblPr>
        <w:tblW w:w="1115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"/>
        <w:gridCol w:w="10740"/>
      </w:tblGrid>
      <w:tr w:rsidR="004D2562" w:rsidRPr="004D2562" w:rsidTr="004D2562">
        <w:trPr>
          <w:tblCellSpacing w:w="0" w:type="dxa"/>
        </w:trPr>
        <w:tc>
          <w:tcPr>
            <w:tcW w:w="413" w:type="dxa"/>
            <w:hideMark/>
          </w:tcPr>
          <w:tbl>
            <w:tblPr>
              <w:tblW w:w="405" w:type="dxa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405"/>
            </w:tblGrid>
            <w:tr w:rsidR="004D2562" w:rsidRPr="004D2562" w:rsidTr="004D2562">
              <w:trPr>
                <w:trHeight w:val="420"/>
                <w:tblCellSpacing w:w="0" w:type="dxa"/>
              </w:trPr>
              <w:tc>
                <w:tcPr>
                  <w:tcW w:w="270" w:type="dxa"/>
                  <w:tcBorders>
                    <w:left w:val="single" w:sz="6" w:space="0" w:color="CBCBCB"/>
                  </w:tcBorders>
                  <w:shd w:val="clear" w:color="auto" w:fill="D4DBD9"/>
                  <w:vAlign w:val="center"/>
                  <w:hideMark/>
                </w:tcPr>
                <w:p w:rsidR="004D2562" w:rsidRPr="004D2562" w:rsidRDefault="004D2562" w:rsidP="004D256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D25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 </w:t>
                  </w:r>
                </w:p>
              </w:tc>
            </w:tr>
            <w:tr w:rsidR="004D2562" w:rsidRPr="004D2562" w:rsidTr="004D2562">
              <w:trPr>
                <w:trHeight w:val="420"/>
                <w:tblCellSpacing w:w="0" w:type="dxa"/>
              </w:trPr>
              <w:tc>
                <w:tcPr>
                  <w:tcW w:w="0" w:type="auto"/>
                  <w:tcBorders>
                    <w:left w:val="single" w:sz="6" w:space="0" w:color="CBCBCB"/>
                  </w:tcBorders>
                  <w:vAlign w:val="center"/>
                  <w:hideMark/>
                </w:tcPr>
                <w:p w:rsidR="004D2562" w:rsidRPr="004D2562" w:rsidRDefault="004D2562" w:rsidP="004D256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D25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 </w:t>
                  </w:r>
                </w:p>
              </w:tc>
            </w:tr>
            <w:tr w:rsidR="004D2562" w:rsidRPr="004D2562" w:rsidTr="004D2562">
              <w:trPr>
                <w:trHeight w:val="420"/>
                <w:tblCellSpacing w:w="0" w:type="dxa"/>
              </w:trPr>
              <w:tc>
                <w:tcPr>
                  <w:tcW w:w="0" w:type="auto"/>
                  <w:tcBorders>
                    <w:left w:val="single" w:sz="6" w:space="0" w:color="CBCBCB"/>
                  </w:tcBorders>
                  <w:vAlign w:val="center"/>
                  <w:hideMark/>
                </w:tcPr>
                <w:p w:rsidR="004D2562" w:rsidRPr="004D2562" w:rsidRDefault="004D2562" w:rsidP="004D256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D25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 </w:t>
                  </w:r>
                </w:p>
              </w:tc>
            </w:tr>
            <w:tr w:rsidR="004D2562" w:rsidRPr="004D2562" w:rsidTr="004D2562">
              <w:trPr>
                <w:trHeight w:val="420"/>
                <w:tblCellSpacing w:w="0" w:type="dxa"/>
              </w:trPr>
              <w:tc>
                <w:tcPr>
                  <w:tcW w:w="0" w:type="auto"/>
                  <w:tcBorders>
                    <w:left w:val="single" w:sz="6" w:space="0" w:color="CBCBCB"/>
                  </w:tcBorders>
                  <w:vAlign w:val="center"/>
                  <w:hideMark/>
                </w:tcPr>
                <w:p w:rsidR="004D2562" w:rsidRPr="004D2562" w:rsidRDefault="004D2562" w:rsidP="004D256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D25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 </w:t>
                  </w:r>
                </w:p>
              </w:tc>
            </w:tr>
            <w:tr w:rsidR="004D2562" w:rsidRPr="004D2562" w:rsidTr="004D2562">
              <w:trPr>
                <w:trHeight w:val="420"/>
                <w:tblCellSpacing w:w="0" w:type="dxa"/>
              </w:trPr>
              <w:tc>
                <w:tcPr>
                  <w:tcW w:w="0" w:type="auto"/>
                  <w:tcBorders>
                    <w:left w:val="single" w:sz="6" w:space="0" w:color="CBCBCB"/>
                  </w:tcBorders>
                  <w:vAlign w:val="center"/>
                  <w:hideMark/>
                </w:tcPr>
                <w:p w:rsidR="004D2562" w:rsidRPr="004D2562" w:rsidRDefault="004D2562" w:rsidP="004D256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D25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 </w:t>
                  </w:r>
                </w:p>
              </w:tc>
            </w:tr>
            <w:tr w:rsidR="004D2562" w:rsidRPr="004D2562" w:rsidTr="004D2562">
              <w:trPr>
                <w:trHeight w:val="420"/>
                <w:tblCellSpacing w:w="0" w:type="dxa"/>
              </w:trPr>
              <w:tc>
                <w:tcPr>
                  <w:tcW w:w="0" w:type="auto"/>
                  <w:tcBorders>
                    <w:left w:val="single" w:sz="6" w:space="0" w:color="CBCBCB"/>
                  </w:tcBorders>
                  <w:vAlign w:val="center"/>
                  <w:hideMark/>
                </w:tcPr>
                <w:p w:rsidR="004D2562" w:rsidRPr="004D2562" w:rsidRDefault="004D2562" w:rsidP="004D256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D25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 </w:t>
                  </w:r>
                </w:p>
              </w:tc>
            </w:tr>
            <w:tr w:rsidR="004D2562" w:rsidRPr="004D2562" w:rsidTr="004D2562">
              <w:trPr>
                <w:trHeight w:val="420"/>
                <w:tblCellSpacing w:w="0" w:type="dxa"/>
              </w:trPr>
              <w:tc>
                <w:tcPr>
                  <w:tcW w:w="0" w:type="auto"/>
                  <w:tcBorders>
                    <w:left w:val="single" w:sz="6" w:space="0" w:color="CBCBCB"/>
                  </w:tcBorders>
                  <w:shd w:val="clear" w:color="auto" w:fill="F9FECB"/>
                  <w:vAlign w:val="center"/>
                  <w:hideMark/>
                </w:tcPr>
                <w:p w:rsidR="004D2562" w:rsidRPr="004D2562" w:rsidRDefault="004D2562" w:rsidP="004D256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D25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7 </w:t>
                  </w:r>
                </w:p>
              </w:tc>
            </w:tr>
            <w:tr w:rsidR="004D2562" w:rsidRPr="004D2562" w:rsidTr="004D2562">
              <w:trPr>
                <w:trHeight w:val="570"/>
                <w:tblCellSpacing w:w="0" w:type="dxa"/>
              </w:trPr>
              <w:tc>
                <w:tcPr>
                  <w:tcW w:w="0" w:type="auto"/>
                  <w:tcBorders>
                    <w:left w:val="single" w:sz="6" w:space="0" w:color="CBCBCB"/>
                  </w:tcBorders>
                  <w:vAlign w:val="center"/>
                  <w:hideMark/>
                </w:tcPr>
                <w:p w:rsidR="004D2562" w:rsidRPr="004D2562" w:rsidRDefault="004D2562" w:rsidP="004D256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D25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8 </w:t>
                  </w:r>
                </w:p>
              </w:tc>
            </w:tr>
          </w:tbl>
          <w:p w:rsidR="004D2562" w:rsidRPr="004D2562" w:rsidRDefault="004D2562" w:rsidP="004D2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0" w:type="dxa"/>
            <w:hideMark/>
          </w:tcPr>
          <w:tbl>
            <w:tblPr>
              <w:tblW w:w="10275" w:type="dxa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0740"/>
            </w:tblGrid>
            <w:tr w:rsidR="004D2562" w:rsidRPr="004D2562" w:rsidTr="004D2562">
              <w:trPr>
                <w:trHeight w:val="420"/>
                <w:tblCellSpacing w:w="0" w:type="dxa"/>
              </w:trPr>
              <w:tc>
                <w:tcPr>
                  <w:tcW w:w="0" w:type="auto"/>
                  <w:shd w:val="clear" w:color="auto" w:fill="D4DBD9"/>
                  <w:vAlign w:val="center"/>
                  <w:hideMark/>
                </w:tcPr>
                <w:p w:rsidR="004D2562" w:rsidRPr="004D2562" w:rsidRDefault="004D2562" w:rsidP="004D25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D25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Compliance of terms &amp; conditions of sanction &amp; documentation of fresh accounts. </w:t>
                  </w:r>
                </w:p>
              </w:tc>
            </w:tr>
            <w:tr w:rsidR="004D2562" w:rsidRPr="004D2562" w:rsidTr="004D2562">
              <w:trPr>
                <w:trHeight w:val="42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D2562" w:rsidRPr="004D2562" w:rsidRDefault="004D2562" w:rsidP="004D25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D25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Creation of charge &amp; obtaining of search report, insurance, end use verification. </w:t>
                  </w:r>
                </w:p>
              </w:tc>
            </w:tr>
            <w:tr w:rsidR="004D2562" w:rsidRPr="004D2562" w:rsidTr="004D2562">
              <w:trPr>
                <w:trHeight w:val="42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D2562" w:rsidRPr="004D2562" w:rsidRDefault="004D2562" w:rsidP="004D25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D25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Drawing of CIBIL/EQUIFAX reports. </w:t>
                  </w:r>
                </w:p>
              </w:tc>
            </w:tr>
            <w:tr w:rsidR="004D2562" w:rsidRPr="004D2562" w:rsidTr="004D2562">
              <w:trPr>
                <w:trHeight w:val="42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D2562" w:rsidRPr="004D2562" w:rsidRDefault="004D2562" w:rsidP="004D25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D25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Reply of CARD &amp; inspection/irregularities in the accounts. </w:t>
                  </w:r>
                </w:p>
              </w:tc>
            </w:tr>
            <w:tr w:rsidR="004D2562" w:rsidRPr="004D2562" w:rsidTr="004D2562">
              <w:trPr>
                <w:trHeight w:val="42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D2562" w:rsidRPr="004D2562" w:rsidRDefault="004D2562" w:rsidP="004D25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D25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Submission of legal compliance in </w:t>
                  </w:r>
                  <w:proofErr w:type="spellStart"/>
                  <w:r w:rsidRPr="004D25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borrowal</w:t>
                  </w:r>
                  <w:proofErr w:type="spellEnd"/>
                  <w:r w:rsidRPr="004D25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10275" w:type="dxa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80"/>
                  </w:tblGrid>
                  <w:tr w:rsidR="004D2562" w:rsidRPr="004D2562" w:rsidTr="004D2562">
                    <w:trPr>
                      <w:trHeight w:val="420"/>
                      <w:tblCellSpacing w:w="0" w:type="dxa"/>
                    </w:trPr>
                    <w:tc>
                      <w:tcPr>
                        <w:tcW w:w="0" w:type="auto"/>
                        <w:shd w:val="clear" w:color="auto" w:fill="D4DBD9"/>
                        <w:vAlign w:val="center"/>
                        <w:hideMark/>
                      </w:tcPr>
                      <w:p w:rsidR="004D2562" w:rsidRPr="004D2562" w:rsidRDefault="004D2562" w:rsidP="004D256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4D256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accounts</w:t>
                        </w:r>
                        <w:proofErr w:type="gramEnd"/>
                        <w:r w:rsidRPr="004D256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to controlling offices. </w:t>
                        </w:r>
                      </w:p>
                    </w:tc>
                  </w:tr>
                  <w:tr w:rsidR="004D2562" w:rsidRPr="004D2562" w:rsidTr="004D2562">
                    <w:trPr>
                      <w:trHeight w:val="42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562" w:rsidRPr="004D2562" w:rsidRDefault="004D2562" w:rsidP="004D256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D256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Verification of security, periodical rating of the accounts, preparation of PMS of all the accounts. </w:t>
                        </w:r>
                      </w:p>
                    </w:tc>
                  </w:tr>
                  <w:tr w:rsidR="004D2562" w:rsidRPr="004D2562" w:rsidTr="004D2562">
                    <w:trPr>
                      <w:trHeight w:val="42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562" w:rsidRPr="004D2562" w:rsidRDefault="004D2562" w:rsidP="004D256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D256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Work related to fresh accounts as allocated from time to time, checking of stock statements. </w:t>
                        </w:r>
                      </w:p>
                    </w:tc>
                  </w:tr>
                  <w:tr w:rsidR="004D2562" w:rsidRPr="004D2562" w:rsidTr="004D2562">
                    <w:trPr>
                      <w:trHeight w:val="570"/>
                      <w:tblCellSpacing w:w="0" w:type="dxa"/>
                    </w:trPr>
                    <w:tc>
                      <w:tcPr>
                        <w:tcW w:w="0" w:type="auto"/>
                        <w:shd w:val="clear" w:color="auto" w:fill="F9FECB"/>
                        <w:vAlign w:val="center"/>
                        <w:hideMark/>
                      </w:tcPr>
                      <w:p w:rsidR="004D2562" w:rsidRPr="004D2562" w:rsidRDefault="004D2562" w:rsidP="004D256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D256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Work related to the accounts assigned to me i.e. pre sanction appraisal, post sanction follow </w:t>
                        </w:r>
                      </w:p>
                    </w:tc>
                  </w:tr>
                  <w:tr w:rsidR="004D2562" w:rsidRPr="004D2562" w:rsidTr="004D2562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1068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680"/>
                        </w:tblGrid>
                        <w:tr w:rsidR="004D2562" w:rsidRPr="004D2562" w:rsidTr="004D256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1068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680"/>
                              </w:tblGrid>
                              <w:tr w:rsidR="004D2562" w:rsidRPr="004D256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10680" w:type="dxa"/>
                                      <w:jc w:val="center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0680"/>
                                    </w:tblGrid>
                                    <w:tr w:rsidR="004D2562" w:rsidRPr="004D2562" w:rsidTr="004D2562">
                                      <w:trPr>
                                        <w:tblCellSpacing w:w="0" w:type="dxa"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0680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0680"/>
                                          </w:tblGrid>
                                          <w:tr w:rsidR="004D2562" w:rsidRPr="004D2562" w:rsidTr="004D2562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0275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0275" w:type="dxa"/>
                                                  <w:tblCellSpacing w:w="0" w:type="dxa"/>
                                                  <w:tblCellMar>
                                                    <w:top w:w="30" w:type="dxa"/>
                                                    <w:left w:w="30" w:type="dxa"/>
                                                    <w:bottom w:w="30" w:type="dxa"/>
                                                    <w:right w:w="3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0275"/>
                                                </w:tblGrid>
                                                <w:tr w:rsidR="004D2562" w:rsidRPr="004D2562" w:rsidTr="004D2562">
                                                  <w:trPr>
                                                    <w:trHeight w:val="570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shd w:val="clear" w:color="auto" w:fill="D4DBD9"/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4D2562" w:rsidRPr="004D2562" w:rsidRDefault="004D2562" w:rsidP="004D2562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proofErr w:type="gramStart"/>
                                                      <w:r w:rsidRPr="004D2562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up</w:t>
                                                      </w:r>
                                                      <w:proofErr w:type="gramEnd"/>
                                                      <w:r w:rsidRPr="004D2562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, creation of equitable mortgage &amp; entry in CERSAI records. 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4D2562" w:rsidRPr="004D2562" w:rsidRDefault="004D2562" w:rsidP="004D2562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4D2562" w:rsidRPr="004D2562" w:rsidRDefault="004D2562" w:rsidP="004D2562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4D2562" w:rsidRPr="004D2562" w:rsidRDefault="004D2562" w:rsidP="004D256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4D2562" w:rsidRPr="004D2562" w:rsidRDefault="004D2562" w:rsidP="004D256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4D2562" w:rsidRPr="004D2562" w:rsidRDefault="004D2562" w:rsidP="004D256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D2562" w:rsidRPr="004D2562" w:rsidTr="004D2562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2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562" w:rsidRPr="004D2562" w:rsidRDefault="004D2562" w:rsidP="004D256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D2562" w:rsidRPr="004D2562" w:rsidRDefault="004D2562" w:rsidP="004D25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D2562" w:rsidRPr="004D2562" w:rsidRDefault="004D2562" w:rsidP="004D2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D2562" w:rsidRDefault="004D2562">
      <w:pPr>
        <w:rPr>
          <w:rStyle w:val="pslongeditbox"/>
        </w:rPr>
      </w:pPr>
      <w:r>
        <w:rPr>
          <w:rStyle w:val="pslongeditbox"/>
        </w:rPr>
        <w:t xml:space="preserve">Worked in MCB till 02.01.2015 during the FY 2014-15 and handled portfolio amounting to </w:t>
      </w:r>
      <w:proofErr w:type="spellStart"/>
      <w:r>
        <w:rPr>
          <w:rStyle w:val="pslongeditbox"/>
        </w:rPr>
        <w:t>Rs</w:t>
      </w:r>
      <w:proofErr w:type="spellEnd"/>
      <w:r>
        <w:rPr>
          <w:rStyle w:val="pslongeditbox"/>
        </w:rPr>
        <w:t xml:space="preserve">. 163.95 cr. Performed the work related to renewal/fresh accounts during the year i.e. their pre sanction appraisal &amp; post sanction follow up, documentation, creation of Equitable Mortgage, entry in </w:t>
      </w:r>
      <w:proofErr w:type="spellStart"/>
      <w:r>
        <w:rPr>
          <w:rStyle w:val="pslongeditbox"/>
        </w:rPr>
        <w:t>Cersai</w:t>
      </w:r>
      <w:proofErr w:type="spellEnd"/>
      <w:r>
        <w:rPr>
          <w:rStyle w:val="pslongeditbox"/>
        </w:rPr>
        <w:t xml:space="preserve"> records &amp; reviewed the accounts assigned to me. Posted in </w:t>
      </w:r>
      <w:proofErr w:type="spellStart"/>
      <w:r>
        <w:rPr>
          <w:rStyle w:val="pslongeditbox"/>
        </w:rPr>
        <w:t>Vibhuti</w:t>
      </w:r>
      <w:proofErr w:type="spellEnd"/>
      <w:r>
        <w:rPr>
          <w:rStyle w:val="pslongeditbox"/>
        </w:rPr>
        <w:t xml:space="preserve"> </w:t>
      </w:r>
      <w:proofErr w:type="spellStart"/>
      <w:r>
        <w:rPr>
          <w:rStyle w:val="pslongeditbox"/>
        </w:rPr>
        <w:t>Khand</w:t>
      </w:r>
      <w:proofErr w:type="spellEnd"/>
      <w:r>
        <w:rPr>
          <w:rStyle w:val="pslongeditbox"/>
        </w:rPr>
        <w:t xml:space="preserve"> Branch, Lucknow from 03.01.2015 and is handling retail loans as well as daily routine works related to branch and as assigned to me</w:t>
      </w:r>
    </w:p>
    <w:p w:rsidR="004D2562" w:rsidRDefault="004D2562">
      <w:pPr>
        <w:rPr>
          <w:rStyle w:val="pslongeditbox"/>
        </w:rPr>
      </w:pPr>
    </w:p>
    <w:p w:rsidR="004D2562" w:rsidRDefault="004D2562">
      <w:pPr>
        <w:rPr>
          <w:rStyle w:val="pslongeditbox"/>
        </w:rPr>
      </w:pPr>
      <w:r>
        <w:rPr>
          <w:rStyle w:val="pslongeditbox"/>
        </w:rPr>
        <w:t>Contributed in the opening of met life policies related to the accounts handled</w:t>
      </w:r>
    </w:p>
    <w:p w:rsidR="004D2562" w:rsidRPr="004D2562" w:rsidRDefault="004D2562" w:rsidP="004D2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562">
        <w:rPr>
          <w:rFonts w:ascii="Times New Roman" w:eastAsia="Times New Roman" w:hAnsi="Times New Roman" w:cs="Times New Roman"/>
          <w:sz w:val="24"/>
          <w:szCs w:val="24"/>
        </w:rPr>
        <w:t xml:space="preserve">Successfully marketed the Banks' Retail schemes in the nearby areas. </w:t>
      </w:r>
    </w:p>
    <w:p w:rsidR="004D2562" w:rsidRDefault="004D2562"/>
    <w:p w:rsidR="004D2562" w:rsidRPr="004D2562" w:rsidRDefault="004D2562" w:rsidP="004D2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562">
        <w:rPr>
          <w:rFonts w:ascii="Times New Roman" w:eastAsia="Times New Roman" w:hAnsi="Times New Roman" w:cs="Times New Roman"/>
          <w:sz w:val="24"/>
          <w:szCs w:val="24"/>
        </w:rPr>
        <w:t xml:space="preserve">Communication made in Hindi in verbal &amp; written where ever required. </w:t>
      </w:r>
    </w:p>
    <w:p w:rsidR="004D2562" w:rsidRDefault="004D2562"/>
    <w:tbl>
      <w:tblPr>
        <w:tblW w:w="106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"/>
        <w:gridCol w:w="10275"/>
      </w:tblGrid>
      <w:tr w:rsidR="004D2562" w:rsidRPr="004D2562" w:rsidTr="004D2562">
        <w:trPr>
          <w:tblCellSpacing w:w="0" w:type="dxa"/>
        </w:trPr>
        <w:tc>
          <w:tcPr>
            <w:tcW w:w="405" w:type="dxa"/>
            <w:hideMark/>
          </w:tcPr>
          <w:tbl>
            <w:tblPr>
              <w:tblW w:w="405" w:type="dxa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405"/>
            </w:tblGrid>
            <w:tr w:rsidR="004D2562" w:rsidRPr="004D2562" w:rsidTr="004D2562">
              <w:trPr>
                <w:trHeight w:val="420"/>
                <w:tblCellSpacing w:w="0" w:type="dxa"/>
              </w:trPr>
              <w:tc>
                <w:tcPr>
                  <w:tcW w:w="0" w:type="auto"/>
                  <w:tcBorders>
                    <w:left w:val="single" w:sz="6" w:space="0" w:color="CBCBCB"/>
                  </w:tcBorders>
                  <w:shd w:val="clear" w:color="auto" w:fill="F9FECB"/>
                  <w:vAlign w:val="center"/>
                  <w:hideMark/>
                </w:tcPr>
                <w:p w:rsidR="004D2562" w:rsidRPr="004D2562" w:rsidRDefault="004D2562" w:rsidP="004D256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D25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 </w:t>
                  </w:r>
                </w:p>
              </w:tc>
            </w:tr>
            <w:tr w:rsidR="004D2562" w:rsidRPr="004D2562" w:rsidTr="004D2562">
              <w:trPr>
                <w:trHeight w:val="420"/>
                <w:tblCellSpacing w:w="0" w:type="dxa"/>
              </w:trPr>
              <w:tc>
                <w:tcPr>
                  <w:tcW w:w="0" w:type="auto"/>
                  <w:tcBorders>
                    <w:left w:val="single" w:sz="6" w:space="0" w:color="CBCBCB"/>
                  </w:tcBorders>
                  <w:vAlign w:val="center"/>
                  <w:hideMark/>
                </w:tcPr>
                <w:p w:rsidR="004D2562" w:rsidRPr="004D2562" w:rsidRDefault="004D2562" w:rsidP="004D256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D25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 </w:t>
                  </w:r>
                </w:p>
              </w:tc>
            </w:tr>
            <w:tr w:rsidR="004D2562" w:rsidRPr="004D2562" w:rsidTr="004D2562">
              <w:trPr>
                <w:trHeight w:val="420"/>
                <w:tblCellSpacing w:w="0" w:type="dxa"/>
              </w:trPr>
              <w:tc>
                <w:tcPr>
                  <w:tcW w:w="0" w:type="auto"/>
                  <w:tcBorders>
                    <w:left w:val="single" w:sz="6" w:space="0" w:color="CBCBCB"/>
                  </w:tcBorders>
                  <w:vAlign w:val="center"/>
                  <w:hideMark/>
                </w:tcPr>
                <w:p w:rsidR="004D2562" w:rsidRPr="004D2562" w:rsidRDefault="004D2562" w:rsidP="004D256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D25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 </w:t>
                  </w:r>
                </w:p>
              </w:tc>
            </w:tr>
            <w:tr w:rsidR="004D2562" w:rsidRPr="004D2562" w:rsidTr="004D2562">
              <w:trPr>
                <w:trHeight w:val="420"/>
                <w:tblCellSpacing w:w="0" w:type="dxa"/>
              </w:trPr>
              <w:tc>
                <w:tcPr>
                  <w:tcW w:w="0" w:type="auto"/>
                  <w:tcBorders>
                    <w:left w:val="single" w:sz="6" w:space="0" w:color="CBCBCB"/>
                  </w:tcBorders>
                  <w:vAlign w:val="center"/>
                  <w:hideMark/>
                </w:tcPr>
                <w:p w:rsidR="004D2562" w:rsidRPr="004D2562" w:rsidRDefault="004D2562" w:rsidP="004D256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D25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5 </w:t>
                  </w:r>
                </w:p>
              </w:tc>
            </w:tr>
            <w:tr w:rsidR="004D2562" w:rsidRPr="004D2562" w:rsidTr="004D2562">
              <w:trPr>
                <w:trHeight w:val="420"/>
                <w:tblCellSpacing w:w="0" w:type="dxa"/>
              </w:trPr>
              <w:tc>
                <w:tcPr>
                  <w:tcW w:w="0" w:type="auto"/>
                  <w:tcBorders>
                    <w:left w:val="single" w:sz="6" w:space="0" w:color="CBCBCB"/>
                  </w:tcBorders>
                  <w:vAlign w:val="center"/>
                  <w:hideMark/>
                </w:tcPr>
                <w:p w:rsidR="004D2562" w:rsidRPr="004D2562" w:rsidRDefault="004D2562" w:rsidP="004D256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D25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 </w:t>
                  </w:r>
                </w:p>
              </w:tc>
            </w:tr>
            <w:tr w:rsidR="004D2562" w:rsidRPr="004D2562" w:rsidTr="004D2562">
              <w:trPr>
                <w:trHeight w:val="420"/>
                <w:tblCellSpacing w:w="0" w:type="dxa"/>
              </w:trPr>
              <w:tc>
                <w:tcPr>
                  <w:tcW w:w="0" w:type="auto"/>
                  <w:tcBorders>
                    <w:left w:val="single" w:sz="6" w:space="0" w:color="CBCBCB"/>
                  </w:tcBorders>
                  <w:vAlign w:val="center"/>
                  <w:hideMark/>
                </w:tcPr>
                <w:p w:rsidR="004D2562" w:rsidRPr="004D2562" w:rsidRDefault="004D2562" w:rsidP="004D256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D25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7 </w:t>
                  </w:r>
                </w:p>
              </w:tc>
            </w:tr>
            <w:tr w:rsidR="004D2562" w:rsidRPr="004D2562" w:rsidTr="004D2562">
              <w:trPr>
                <w:trHeight w:val="570"/>
                <w:tblCellSpacing w:w="0" w:type="dxa"/>
              </w:trPr>
              <w:tc>
                <w:tcPr>
                  <w:tcW w:w="0" w:type="auto"/>
                  <w:tcBorders>
                    <w:left w:val="single" w:sz="6" w:space="0" w:color="CBCBCB"/>
                  </w:tcBorders>
                  <w:vAlign w:val="center"/>
                  <w:hideMark/>
                </w:tcPr>
                <w:p w:rsidR="004D2562" w:rsidRPr="004D2562" w:rsidRDefault="004D2562" w:rsidP="004D256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D25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8 </w:t>
                  </w:r>
                </w:p>
              </w:tc>
            </w:tr>
          </w:tbl>
          <w:p w:rsidR="004D2562" w:rsidRPr="004D2562" w:rsidRDefault="004D2562" w:rsidP="004D2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5" w:type="dxa"/>
            <w:hideMark/>
          </w:tcPr>
          <w:tbl>
            <w:tblPr>
              <w:tblW w:w="10275" w:type="dxa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0275"/>
            </w:tblGrid>
            <w:tr w:rsidR="004D2562" w:rsidRPr="004D2562" w:rsidTr="004D2562">
              <w:trPr>
                <w:trHeight w:val="42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D2562" w:rsidRPr="004D2562" w:rsidRDefault="004D2562" w:rsidP="004D25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D25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Compliance of terms &amp; conditions of sanction &amp; documentation of fresh accounts. </w:t>
                  </w:r>
                </w:p>
              </w:tc>
            </w:tr>
            <w:tr w:rsidR="004D2562" w:rsidRPr="004D2562" w:rsidTr="004D2562">
              <w:trPr>
                <w:trHeight w:val="420"/>
                <w:tblCellSpacing w:w="0" w:type="dxa"/>
              </w:trPr>
              <w:tc>
                <w:tcPr>
                  <w:tcW w:w="0" w:type="auto"/>
                  <w:shd w:val="clear" w:color="auto" w:fill="F9FECB"/>
                  <w:vAlign w:val="center"/>
                  <w:hideMark/>
                </w:tcPr>
                <w:p w:rsidR="004D2562" w:rsidRPr="004D2562" w:rsidRDefault="004D2562" w:rsidP="004D25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D25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Creation of charge &amp; obtaining of search report, insurance, end use verification. </w:t>
                  </w:r>
                </w:p>
              </w:tc>
            </w:tr>
            <w:tr w:rsidR="004D2562" w:rsidRPr="004D2562" w:rsidTr="004D2562">
              <w:trPr>
                <w:trHeight w:val="42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D2562" w:rsidRPr="004D2562" w:rsidRDefault="004D2562" w:rsidP="004D25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D25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Drawing of CIBIL/EQUIFAX reports. </w:t>
                  </w:r>
                </w:p>
              </w:tc>
            </w:tr>
            <w:tr w:rsidR="004D2562" w:rsidRPr="004D2562" w:rsidTr="004D2562">
              <w:trPr>
                <w:trHeight w:val="42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D2562" w:rsidRPr="004D2562" w:rsidRDefault="004D2562" w:rsidP="004D25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D25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Reply of CARD &amp; inspection/irregularities in the accounts. </w:t>
                  </w:r>
                </w:p>
              </w:tc>
            </w:tr>
            <w:tr w:rsidR="004D2562" w:rsidRPr="004D2562" w:rsidTr="004D2562">
              <w:trPr>
                <w:trHeight w:val="42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D2562" w:rsidRPr="004D2562" w:rsidRDefault="004D2562" w:rsidP="004D25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D25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Submission of legal compliance in </w:t>
                  </w:r>
                  <w:proofErr w:type="spellStart"/>
                  <w:r w:rsidRPr="004D25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borrowal</w:t>
                  </w:r>
                  <w:proofErr w:type="spellEnd"/>
                  <w:r w:rsidRPr="004D25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accounts to controlling offices. </w:t>
                  </w:r>
                </w:p>
              </w:tc>
            </w:tr>
            <w:tr w:rsidR="004D2562" w:rsidRPr="004D2562" w:rsidTr="004D2562">
              <w:trPr>
                <w:trHeight w:val="42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D2562" w:rsidRPr="004D2562" w:rsidRDefault="004D2562" w:rsidP="004D25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D25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Verification of security, periodical rating of the accounts, preparation of PMS of all the accounts. </w:t>
                  </w:r>
                </w:p>
              </w:tc>
            </w:tr>
            <w:tr w:rsidR="004D2562" w:rsidRPr="004D2562" w:rsidTr="004D2562">
              <w:trPr>
                <w:trHeight w:val="42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D2562" w:rsidRPr="004D2562" w:rsidRDefault="004D2562" w:rsidP="004D25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D25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Work related to fresh accounts as allocated from time to time, checking of stock statements. </w:t>
                  </w:r>
                </w:p>
              </w:tc>
            </w:tr>
            <w:tr w:rsidR="004D2562" w:rsidRPr="004D2562" w:rsidTr="004D2562">
              <w:trPr>
                <w:trHeight w:val="57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D2562" w:rsidRPr="004D2562" w:rsidRDefault="004D2562" w:rsidP="004D25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D25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Work related to the accounts assigned to me i.e. pre sanction appraisal, post sanction follow up, creation of equitable mortgage &amp; entry in CERSAI records. </w:t>
                  </w:r>
                </w:p>
              </w:tc>
            </w:tr>
          </w:tbl>
          <w:p w:rsidR="004D2562" w:rsidRPr="004D2562" w:rsidRDefault="004D2562" w:rsidP="004D2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D2562" w:rsidRDefault="004D2562"/>
    <w:p w:rsidR="00BC6451" w:rsidRDefault="00BC6451"/>
    <w:p w:rsidR="00BC6451" w:rsidRDefault="00BC6451" w:rsidP="00BC6451">
      <w:r>
        <w:t xml:space="preserve">Worked in BO: </w:t>
      </w:r>
      <w:proofErr w:type="spellStart"/>
      <w:r>
        <w:t>Vibhuti</w:t>
      </w:r>
      <w:proofErr w:type="spellEnd"/>
      <w:r>
        <w:t xml:space="preserve"> </w:t>
      </w:r>
      <w:proofErr w:type="spellStart"/>
      <w:r>
        <w:t>Khand</w:t>
      </w:r>
      <w:proofErr w:type="spellEnd"/>
      <w:r>
        <w:t xml:space="preserve">, </w:t>
      </w:r>
      <w:proofErr w:type="spellStart"/>
      <w:r>
        <w:t>Gomti</w:t>
      </w:r>
      <w:proofErr w:type="spellEnd"/>
      <w:r>
        <w:t xml:space="preserve"> Nagar, </w:t>
      </w:r>
      <w:proofErr w:type="spellStart"/>
      <w:proofErr w:type="gramStart"/>
      <w:r>
        <w:t>Lko</w:t>
      </w:r>
      <w:proofErr w:type="spellEnd"/>
      <w:proofErr w:type="gramEnd"/>
      <w:r>
        <w:t xml:space="preserve">. </w:t>
      </w:r>
      <w:proofErr w:type="gramStart"/>
      <w:r>
        <w:t>till</w:t>
      </w:r>
      <w:proofErr w:type="gramEnd"/>
      <w:r>
        <w:t xml:space="preserve"> 05.07.2015 during the FY 2015-16 and handled retail loans as well as daily routine works related to branch and as assigned to me by Branch Incumbent. </w:t>
      </w:r>
    </w:p>
    <w:p w:rsidR="00BC6451" w:rsidRDefault="00BC6451" w:rsidP="00BC6451">
      <w:r>
        <w:t xml:space="preserve">Posted in BO: RLB, </w:t>
      </w:r>
      <w:proofErr w:type="spellStart"/>
      <w:r>
        <w:t>Vipul</w:t>
      </w:r>
      <w:proofErr w:type="spellEnd"/>
      <w:r>
        <w:t xml:space="preserve"> </w:t>
      </w:r>
      <w:proofErr w:type="spellStart"/>
      <w:r>
        <w:t>khand</w:t>
      </w:r>
      <w:proofErr w:type="spellEnd"/>
      <w:r>
        <w:t xml:space="preserve">, </w:t>
      </w:r>
      <w:proofErr w:type="spellStart"/>
      <w:r>
        <w:t>Gomti</w:t>
      </w:r>
      <w:proofErr w:type="spellEnd"/>
      <w:r>
        <w:t xml:space="preserve"> Nagar from 06.07.15 &amp; perfor</w:t>
      </w:r>
      <w:r>
        <w:t xml:space="preserve">med the work related to </w:t>
      </w:r>
      <w:r>
        <w:t>fresh accounts</w:t>
      </w:r>
      <w:r>
        <w:t>/renewals</w:t>
      </w:r>
      <w:r>
        <w:t xml:space="preserve"> </w:t>
      </w:r>
      <w:bookmarkStart w:id="0" w:name="_GoBack"/>
      <w:bookmarkEnd w:id="0"/>
      <w:r>
        <w:t xml:space="preserve">during the year i.e. their pre sanction appraisal &amp; post sanction follow up, documentation, creation of Equitable Mortgage, entry in </w:t>
      </w:r>
      <w:proofErr w:type="spellStart"/>
      <w:r>
        <w:t>Cersai</w:t>
      </w:r>
      <w:proofErr w:type="spellEnd"/>
      <w:r>
        <w:t xml:space="preserve"> records &amp; reviewed the accounts.</w:t>
      </w:r>
      <w:r>
        <w:t xml:space="preserve"> Recommended proposals amounting to </w:t>
      </w:r>
      <w:proofErr w:type="spellStart"/>
      <w:r>
        <w:t>Rs</w:t>
      </w:r>
      <w:proofErr w:type="spellEnd"/>
      <w:r>
        <w:t xml:space="preserve">.                </w:t>
      </w:r>
      <w:proofErr w:type="gramStart"/>
      <w:r>
        <w:t>during</w:t>
      </w:r>
      <w:proofErr w:type="gramEnd"/>
      <w:r>
        <w:t xml:space="preserve"> the year.</w:t>
      </w:r>
    </w:p>
    <w:sectPr w:rsidR="00BC6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562"/>
    <w:rsid w:val="004D2562"/>
    <w:rsid w:val="00527EA7"/>
    <w:rsid w:val="00BC6451"/>
    <w:rsid w:val="00FC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995D7-A2DE-4728-B925-F0DFC94AC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slongeditbox">
    <w:name w:val="pslongeditbox"/>
    <w:basedOn w:val="DefaultParagraphFont"/>
    <w:rsid w:val="004D2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1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6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5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1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81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28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60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76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25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6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7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5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43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8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0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10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19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12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0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01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00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2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4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7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67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9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64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8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2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9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9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66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4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7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Pawan</dc:creator>
  <cp:keywords/>
  <dc:description/>
  <cp:lastModifiedBy>Srivastava, Pawan</cp:lastModifiedBy>
  <cp:revision>4</cp:revision>
  <dcterms:created xsi:type="dcterms:W3CDTF">2016-04-26T06:29:00Z</dcterms:created>
  <dcterms:modified xsi:type="dcterms:W3CDTF">2016-04-26T07:52:00Z</dcterms:modified>
</cp:coreProperties>
</file>