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44"/>
          <w:szCs w:val="44"/>
        </w:rPr>
        <w:t xml:space="preserve">OPERATION PHANTOM SWIPE</w:t>
      </w:r>
    </w:p>
    <w:p>
      <w:pPr>
        <w:spacing w:after="400" w:before="160"/>
        <w:jc w:val="center"/>
      </w:pPr>
      <w:r>
        <w:rPr>
          <w:i/>
          <w:iCs/>
          <w:sz w:val="26"/>
          <w:szCs w:val="26"/>
        </w:rPr>
        <w:t xml:space="preserve">Investigating a Cross-Border ATM &amp; Credit Card Fraud Ring</w:t>
      </w:r>
    </w:p>
    <w:p>
      <w:pPr>
        <w:spacing w:after="600" w:before="200"/>
        <w:jc w:val="center"/>
      </w:pPr>
      <w:r>
        <w:rPr>
          <w:b/>
          <w:bCs/>
          <w:sz w:val="30"/>
          <w:szCs w:val="30"/>
        </w:rPr>
        <w:t xml:space="preserve">Legal-Technical Report</w:t>
      </w:r>
    </w:p>
    <w:p>
      <w:pPr>
        <w:spacing w:after="100"/>
        <w:jc w:val="center"/>
      </w:pPr>
      <w:r>
        <w:rPr>
          <w:sz w:val="22"/>
          <w:szCs w:val="22"/>
        </w:rPr>
        <w:t xml:space="preserve">Assignment 1 — Unit 1: Foundations of Digital Forensics</w:t>
      </w:r>
    </w:p>
    <w:p>
      <w:pPr>
        <w:spacing w:after="100"/>
        <w:jc w:val="center"/>
      </w:pPr>
      <w:r>
        <w:rPr>
          <w:sz w:val="22"/>
          <w:szCs w:val="22"/>
        </w:rPr>
        <w:t xml:space="preserve">Case No.: OPS-2026-014</w:t>
      </w:r>
    </w:p>
    <w:p>
      <w:pPr>
        <w:spacing w:after="60" w:before="500"/>
        <w:jc w:val="center"/>
      </w:pPr>
      <w:r>
        <w:rPr>
          <w:b/>
          <w:bCs/>
          <w:sz w:val="22"/>
          <w:szCs w:val="22"/>
        </w:rPr>
        <w:t xml:space="preserve">Prepared by: Pawan Yadav</w:t>
      </w:r>
    </w:p>
    <w:p>
      <w:pPr>
        <w:spacing w:after="60"/>
        <w:jc w:val="center"/>
      </w:pPr>
      <w:r>
        <w:rPr>
          <w:sz w:val="22"/>
          <w:szCs w:val="22"/>
        </w:rPr>
        <w:t xml:space="preserve">Course: B.Tech CSE (AI &amp; ML), Section D</w:t>
      </w:r>
    </w:p>
    <w:p>
      <w:pPr>
        <w:spacing w:after="60"/>
        <w:jc w:val="center"/>
      </w:pPr>
      <w:r>
        <w:rPr>
          <w:sz w:val="22"/>
          <w:szCs w:val="22"/>
        </w:rPr>
        <w:t xml:space="preserve">Roll No.: 2301730273</w:t>
      </w:r>
    </w:p>
    <w:p>
      <w:pPr>
        <w:spacing w:after="60"/>
        <w:jc w:val="center"/>
      </w:pPr>
      <w:r>
        <w:rPr>
          <w:sz w:val="22"/>
          <w:szCs w:val="22"/>
        </w:rPr>
        <w:t xml:space="preserve">Date: 21-08-2026</w:t>
      </w:r>
    </w:p>
    <w:p>
      <w:r>
        <w:br w:type="page"/>
      </w:r>
    </w:p>
    <w:p>
      <w:pPr>
        <w:pStyle w:val="Heading1"/>
        <w:spacing w:after="160" w:before="320"/>
      </w:pPr>
      <w:r>
        <w:rPr>
          <w:b/>
          <w:bCs/>
        </w:rPr>
        <w:t xml:space="preserve">1. Executive Summary</w:t>
      </w:r>
    </w:p>
    <w:p>
      <w:pPr>
        <w:spacing w:after="160" w:line="276"/>
        <w:jc w:val="both"/>
      </w:pPr>
      <w:r>
        <w:t xml:space="preserve">This report sets out the findings of the preliminary digital forensic investigation into Operation Phantom Swipe, a suspected ATM skimming and online card-fraud operation with cash-out links outside India. Two exhibits were seized for examination: a physical ATM skimming device (Exhibit A) and an Android handset belonging to a suspect (Exhibit B). Both exhibits were processed under a documented chain of custody, and SHA-256 hashing was used to confirm that every extracted file remained unaltered from the moment of acquisition. Sixteen files were hashed in total, well above the five-file minimum required for this exercise. Analysis of the two exhibits produced seven independently verifiable artefacts — captured card-track data, a malicious application manifest, intercepted one-time-passcode (OTP) messages, courier communications, and geolocation history — several of which corroborate one another across exhibits. A password-protected archive recovered from the phone was opened through a short dictionary attack, revealing a weak, reused password and a set of notes consistent with proceeds-laundering activity. The sections that follow classify the offences and their legal basis, justify the evidence-handling approach taken, examine the difficulties of pursuing the cross-border elements of the case, and propose SOP improvements for similar investigations going forward.</w:t>
      </w:r>
    </w:p>
    <w:p>
      <w:pPr>
        <w:pStyle w:val="Heading1"/>
        <w:spacing w:after="160" w:before="320"/>
      </w:pPr>
      <w:r>
        <w:rPr>
          <w:b/>
          <w:bCs/>
        </w:rPr>
        <w:t xml:space="preserve">2. Summary of Crimes and Digital Footprint</w:t>
      </w:r>
    </w:p>
    <w:p>
      <w:pPr>
        <w:spacing w:after="160" w:line="276"/>
        <w:jc w:val="both"/>
      </w:pPr>
      <w:r>
        <w:t xml:space="preserve">The scheme under investigation unfolds in five linked stages. First, a covert skimming overlay fitted to ATM card slots captured magnetic-stripe track data, while a concealed pinhole camera recorded PIN entry; this data was periodically offloaded over Bluetooth to a paired handset. Second, a separate group of victims was targeted through a sideloaded application disguised as a bank "rewards" tool, which requested SMS-reading and accessibility permissions and used them to intercept OTP messages. Third, the stolen track data was encoded onto blank cards for use at ATMs and point-of-sale terminals. Fourth, cloned cards and cash proceeds were passed to a courier network for cross-border withdrawal. Fifth, funds were layered through bank accounts opened on forged KYC documents, with part of the proceeds converted to cryptocurrency. Each of these stages left a distinct trace on the seized media, summarised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tblHeader/>
        </w:trPr>
        <w:tc>
          <w:tcPr>
            <w:tcW w:type="dxa" w:w="2400"/>
            <w:shd w:fill="1F3864" w:color="auto" w:val="clear"/>
            <w:tcMar>
              <w:top w:type="dxa" w:w="80"/>
              <w:left w:type="dxa" w:w="100"/>
              <w:bottom w:type="dxa" w:w="80"/>
              <w:right w:type="dxa" w:w="100"/>
            </w:tcMar>
            <w:vAlign w:val="center"/>
          </w:tcPr>
          <w:p>
            <w:r>
              <w:rPr>
                <w:b/>
                <w:bCs/>
                <w:color w:val="FFFFFF"/>
                <w:sz w:val="19"/>
                <w:szCs w:val="19"/>
              </w:rPr>
              <w:t xml:space="preserve">Offence Stage</w:t>
            </w:r>
          </w:p>
        </w:tc>
        <w:tc>
          <w:tcPr>
            <w:tcW w:type="dxa" w:w="5460"/>
            <w:shd w:fill="1F3864" w:color="auto" w:val="clear"/>
            <w:tcMar>
              <w:top w:type="dxa" w:w="80"/>
              <w:left w:type="dxa" w:w="100"/>
              <w:bottom w:type="dxa" w:w="80"/>
              <w:right w:type="dxa" w:w="100"/>
            </w:tcMar>
            <w:vAlign w:val="center"/>
          </w:tcPr>
          <w:p>
            <w:r>
              <w:rPr>
                <w:b/>
                <w:bCs/>
                <w:color w:val="FFFFFF"/>
                <w:sz w:val="19"/>
                <w:szCs w:val="19"/>
              </w:rPr>
              <w:t xml:space="preserve">Digital Footprint</w:t>
            </w:r>
          </w:p>
        </w:tc>
        <w:tc>
          <w:tcPr>
            <w:tcW w:type="dxa" w:w="1500"/>
            <w:shd w:fill="1F3864" w:color="auto" w:val="clear"/>
            <w:tcMar>
              <w:top w:type="dxa" w:w="80"/>
              <w:left w:type="dxa" w:w="100"/>
              <w:bottom w:type="dxa" w:w="80"/>
              <w:right w:type="dxa" w:w="100"/>
            </w:tcMar>
            <w:vAlign w:val="center"/>
          </w:tcPr>
          <w:p>
            <w:r>
              <w:rPr>
                <w:b/>
                <w:bCs/>
                <w:color w:val="FFFFFF"/>
                <w:sz w:val="19"/>
                <w:szCs w:val="19"/>
              </w:rPr>
              <w:t xml:space="preserve">Exhibit</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ATM skimming</w:t>
            </w:r>
          </w:p>
        </w:tc>
        <w:tc>
          <w:tcPr>
            <w:tcW w:type="dxa" w:w="5460"/>
            <w:tcMar>
              <w:top w:type="dxa" w:w="80"/>
              <w:left w:type="dxa" w:w="100"/>
              <w:bottom w:type="dxa" w:w="80"/>
              <w:right w:type="dxa" w:w="100"/>
            </w:tcMar>
            <w:vAlign w:val="center"/>
          </w:tcPr>
          <w:p>
            <w:r>
              <w:rPr>
                <w:b w:val="false"/>
                <w:bCs w:val="false"/>
                <w:color w:val="000000"/>
                <w:sz w:val="19"/>
                <w:szCs w:val="19"/>
              </w:rPr>
              <w:t xml:space="preserve">Firmware identifier string plus six Track1/Track2 capture records with timestamps</w:t>
            </w:r>
          </w:p>
        </w:tc>
        <w:tc>
          <w:tcPr>
            <w:tcW w:type="dxa" w:w="1500"/>
            <w:tcMar>
              <w:top w:type="dxa" w:w="80"/>
              <w:left w:type="dxa" w:w="100"/>
              <w:bottom w:type="dxa" w:w="80"/>
              <w:right w:type="dxa" w:w="100"/>
            </w:tcMar>
            <w:vAlign w:val="center"/>
          </w:tcPr>
          <w:p>
            <w:r>
              <w:rPr>
                <w:b w:val="false"/>
                <w:bCs w:val="false"/>
                <w:color w:val="000000"/>
                <w:sz w:val="19"/>
                <w:szCs w:val="19"/>
              </w:rPr>
              <w:t xml:space="preserve">A — Skimmer</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Fake-app credential phishing</w:t>
            </w:r>
          </w:p>
        </w:tc>
        <w:tc>
          <w:tcPr>
            <w:tcW w:type="dxa" w:w="5460"/>
            <w:tcMar>
              <w:top w:type="dxa" w:w="80"/>
              <w:left w:type="dxa" w:w="100"/>
              <w:bottom w:type="dxa" w:w="80"/>
              <w:right w:type="dxa" w:w="100"/>
            </w:tcMar>
            <w:vAlign w:val="center"/>
          </w:tcPr>
          <w:p>
            <w:r>
              <w:rPr>
                <w:b w:val="false"/>
                <w:bCs w:val="false"/>
                <w:color w:val="000000"/>
                <w:sz w:val="19"/>
                <w:szCs w:val="19"/>
              </w:rPr>
              <w:t xml:space="preserve">App manifest showing SMS-read and accessibility permissions, installed outside the Play Store</w:t>
            </w:r>
          </w:p>
        </w:tc>
        <w:tc>
          <w:tcPr>
            <w:tcW w:type="dxa" w:w="1500"/>
            <w:tcMar>
              <w:top w:type="dxa" w:w="80"/>
              <w:left w:type="dxa" w:w="100"/>
              <w:bottom w:type="dxa" w:w="80"/>
              <w:right w:type="dxa" w:w="100"/>
            </w:tcMar>
            <w:vAlign w:val="center"/>
          </w:tcPr>
          <w:p>
            <w:r>
              <w:rPr>
                <w:b w:val="false"/>
                <w:bCs w:val="false"/>
                <w:color w:val="000000"/>
                <w:sz w:val="19"/>
                <w:szCs w:val="19"/>
              </w:rPr>
              <w:t xml:space="preserve">B — Phone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OTP interception</w:t>
            </w:r>
          </w:p>
        </w:tc>
        <w:tc>
          <w:tcPr>
            <w:tcW w:type="dxa" w:w="5460"/>
            <w:tcMar>
              <w:top w:type="dxa" w:w="80"/>
              <w:left w:type="dxa" w:w="100"/>
              <w:bottom w:type="dxa" w:w="80"/>
              <w:right w:type="dxa" w:w="100"/>
            </w:tcMar>
            <w:vAlign w:val="center"/>
          </w:tcPr>
          <w:p>
            <w:r>
              <w:rPr>
                <w:b w:val="false"/>
                <w:bCs w:val="false"/>
                <w:color w:val="000000"/>
                <w:sz w:val="19"/>
                <w:szCs w:val="19"/>
              </w:rPr>
              <w:t xml:space="preserve">Five intercepted bank OTP messages spanning four different banks</w:t>
            </w:r>
          </w:p>
        </w:tc>
        <w:tc>
          <w:tcPr>
            <w:tcW w:type="dxa" w:w="1500"/>
            <w:tcMar>
              <w:top w:type="dxa" w:w="80"/>
              <w:left w:type="dxa" w:w="100"/>
              <w:bottom w:type="dxa" w:w="80"/>
              <w:right w:type="dxa" w:w="100"/>
            </w:tcMar>
            <w:vAlign w:val="center"/>
          </w:tcPr>
          <w:p>
            <w:r>
              <w:rPr>
                <w:b w:val="false"/>
                <w:bCs w:val="false"/>
                <w:color w:val="000000"/>
                <w:sz w:val="19"/>
                <w:szCs w:val="19"/>
              </w:rPr>
              <w:t xml:space="preserve">B — Phone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Cash-out coordination</w:t>
            </w:r>
          </w:p>
        </w:tc>
        <w:tc>
          <w:tcPr>
            <w:tcW w:type="dxa" w:w="5460"/>
            <w:tcMar>
              <w:top w:type="dxa" w:w="80"/>
              <w:left w:type="dxa" w:w="100"/>
              <w:bottom w:type="dxa" w:w="80"/>
              <w:right w:type="dxa" w:w="100"/>
            </w:tcMar>
            <w:vAlign w:val="center"/>
          </w:tcPr>
          <w:p>
            <w:r>
              <w:rPr>
                <w:b w:val="false"/>
                <w:bCs w:val="false"/>
                <w:color w:val="000000"/>
                <w:sz w:val="19"/>
                <w:szCs w:val="19"/>
              </w:rPr>
              <w:t xml:space="preserve">Chat thread with a courier contact referencing card batches and drop points</w:t>
            </w:r>
          </w:p>
        </w:tc>
        <w:tc>
          <w:tcPr>
            <w:tcW w:type="dxa" w:w="1500"/>
            <w:tcMar>
              <w:top w:type="dxa" w:w="80"/>
              <w:left w:type="dxa" w:w="100"/>
              <w:bottom w:type="dxa" w:w="80"/>
              <w:right w:type="dxa" w:w="100"/>
            </w:tcMar>
            <w:vAlign w:val="center"/>
          </w:tcPr>
          <w:p>
            <w:r>
              <w:rPr>
                <w:b w:val="false"/>
                <w:bCs w:val="false"/>
                <w:color w:val="000000"/>
                <w:sz w:val="19"/>
                <w:szCs w:val="19"/>
              </w:rPr>
              <w:t xml:space="preserve">B — Phone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Target reconnaissance</w:t>
            </w:r>
          </w:p>
        </w:tc>
        <w:tc>
          <w:tcPr>
            <w:tcW w:type="dxa" w:w="5460"/>
            <w:tcMar>
              <w:top w:type="dxa" w:w="80"/>
              <w:left w:type="dxa" w:w="100"/>
              <w:bottom w:type="dxa" w:w="80"/>
              <w:right w:type="dxa" w:w="100"/>
            </w:tcMar>
            <w:vAlign w:val="center"/>
          </w:tcPr>
          <w:p>
            <w:r>
              <w:rPr>
                <w:b w:val="false"/>
                <w:bCs w:val="false"/>
                <w:color w:val="000000"/>
                <w:sz w:val="19"/>
                <w:szCs w:val="19"/>
              </w:rPr>
              <w:t xml:space="preserve">Five GPS coordinates matching ATM branches and a drop point, aligned to chat timestamps</w:t>
            </w:r>
          </w:p>
        </w:tc>
        <w:tc>
          <w:tcPr>
            <w:tcW w:type="dxa" w:w="1500"/>
            <w:tcMar>
              <w:top w:type="dxa" w:w="80"/>
              <w:left w:type="dxa" w:w="100"/>
              <w:bottom w:type="dxa" w:w="80"/>
              <w:right w:type="dxa" w:w="100"/>
            </w:tcMar>
            <w:vAlign w:val="center"/>
          </w:tcPr>
          <w:p>
            <w:r>
              <w:rPr>
                <w:b w:val="false"/>
                <w:bCs w:val="false"/>
                <w:color w:val="000000"/>
                <w:sz w:val="19"/>
                <w:szCs w:val="19"/>
              </w:rPr>
              <w:t xml:space="preserve">B — Phone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Proceeds layering</w:t>
            </w:r>
          </w:p>
        </w:tc>
        <w:tc>
          <w:tcPr>
            <w:tcW w:type="dxa" w:w="5460"/>
            <w:tcMar>
              <w:top w:type="dxa" w:w="80"/>
              <w:left w:type="dxa" w:w="100"/>
              <w:bottom w:type="dxa" w:w="80"/>
              <w:right w:type="dxa" w:w="100"/>
            </w:tcMar>
            <w:vAlign w:val="center"/>
          </w:tcPr>
          <w:p>
            <w:r>
              <w:rPr>
                <w:b w:val="false"/>
                <w:bCs w:val="false"/>
                <w:color w:val="000000"/>
                <w:sz w:val="19"/>
                <w:szCs w:val="19"/>
              </w:rPr>
              <w:t xml:space="preserve">Password-protected archive containing a mule-account list and a proceeds split ratio</w:t>
            </w:r>
          </w:p>
        </w:tc>
        <w:tc>
          <w:tcPr>
            <w:tcW w:type="dxa" w:w="1500"/>
            <w:tcMar>
              <w:top w:type="dxa" w:w="80"/>
              <w:left w:type="dxa" w:w="100"/>
              <w:bottom w:type="dxa" w:w="80"/>
              <w:right w:type="dxa" w:w="100"/>
            </w:tcMar>
            <w:vAlign w:val="center"/>
          </w:tcPr>
          <w:p>
            <w:r>
              <w:rPr>
                <w:b w:val="false"/>
                <w:bCs w:val="false"/>
                <w:color w:val="000000"/>
                <w:sz w:val="19"/>
                <w:szCs w:val="19"/>
              </w:rPr>
              <w:t xml:space="preserve">B — Phone</w:t>
            </w:r>
          </w:p>
        </w:tc>
      </w:tr>
    </w:tbl>
    <w:p>
      <w:pPr>
        <w:spacing w:after="160" w:before="160"/>
      </w:pPr>
    </w:p>
    <w:p>
      <w:pPr>
        <w:spacing w:after="160" w:line="276"/>
        <w:jc w:val="both"/>
      </w:pPr>
      <w:r>
        <w:t xml:space="preserve">For legal classification, the skimming and app-based capture fall under Section 43 and Section 66 of the Information Technology Act, 2000, as unauthorised access and dishonest data extraction, with Section 66C (identity theft) and Section 66D (cheating by personation) applying once the captured credentials are used to impersonate cardholders and the fake app itself is used to deceive victims. The physical cloning of cards is forgery under Sections 465, 468 and 471 of the Indian Penal Code, 1860, and the resulting fraudulent withdrawals amount to cheating and theft under Sections 420 and 379 IPC. The coordinated, multi-actor nature of the scheme brings Section 120B (criminal conspiracy) and Section 34 IPC (common intention) into play, while the mule-account and cross-border courier elements raise money-laundering exposure under the Prevention of Money Laundering Act, 2002, alongside forgery for the fabricated KYC documents. Internationally, the same conduct maps to Articles 2, 3, 7 and 8 of the Budapest Convention on Cybercrime (illegal access, illegal interception, computer-related forgery, and computer-related fraud); however, India is not a signatory to the Convention, so this mapping is useful analytically — to show that domestic law already covers the same underlying conduct — rather than as a treaty basis this investigation can directly invoke.</w:t>
      </w:r>
    </w:p>
    <w:p>
      <w:pPr>
        <w:spacing w:after="160" w:line="276"/>
        <w:jc w:val="both"/>
      </w:pPr>
      <w:r>
        <w:t xml:space="preserve">None of the artefacts above are relied on in isolation. The Bluetooth pairing address recorded in the skimmer's configuration file and the GPS coordinate that lines up with a courier chat message dated 16 March 2026 both tie Exhibit A and Exhibit B to the same operation, which strengthens the case against any defence argument that a single artefact was misattributed or planted.</w:t>
      </w:r>
    </w:p>
    <w:p>
      <w:pPr>
        <w:pStyle w:val="Heading1"/>
        <w:spacing w:after="160" w:before="320"/>
      </w:pPr>
      <w:r>
        <w:rPr>
          <w:b/>
          <w:bCs/>
        </w:rPr>
        <w:t xml:space="preserve">3. Evidence Handling Justification</w:t>
      </w:r>
    </w:p>
    <w:p>
      <w:pPr>
        <w:spacing w:after="160" w:line="276"/>
        <w:jc w:val="both"/>
      </w:pPr>
      <w:r>
        <w:t xml:space="preserve">Digital evidence has no evidentiary value unless it can be shown to be unaltered between seizure and its eventual presentation in court, and even routine examination can change a device's state if handled carelessly. The procedure followed for both exhibits was built around eliminating that risk at every step.</w:t>
      </w:r>
    </w:p>
    <w:p>
      <w:pPr>
        <w:pStyle w:val="Heading2"/>
        <w:spacing w:after="120" w:before="200"/>
      </w:pPr>
      <w:r>
        <w:rPr>
          <w:b/>
          <w:bCs/>
          <w:i/>
          <w:iCs/>
        </w:rPr>
        <w:t xml:space="preserve">3.1 Isolation at the Point of Seizure</w:t>
      </w:r>
    </w:p>
    <w:p>
      <w:pPr>
        <w:spacing w:after="160" w:line="276"/>
        <w:jc w:val="both"/>
      </w:pPr>
      <w:r>
        <w:t xml:space="preserve">Exhibit A was powered down immediately on seizure to prevent any onboard anti-tamper or wipe routine from triggering. Exhibit B was placed into airplane mode and then sealed in a Faraday bag before transport, cutting it off from any remote wipe, remote lock, or cloud-sync command that could otherwise alter or destroy evidence before acquisition — a standard precaution in mobile forensics.</w:t>
      </w:r>
    </w:p>
    <w:p>
      <w:pPr>
        <w:pStyle w:val="Heading2"/>
        <w:spacing w:after="120" w:before="200"/>
      </w:pPr>
      <w:r>
        <w:rPr>
          <w:b/>
          <w:bCs/>
          <w:i/>
          <w:iCs/>
        </w:rPr>
        <w:t xml:space="preserve">3.2 Write-Blocking During Acquisition</w:t>
      </w:r>
    </w:p>
    <w:p>
      <w:pPr>
        <w:spacing w:after="160" w:line="276"/>
        <w:jc w:val="both"/>
      </w:pPr>
      <w:r>
        <w:t xml:space="preserve">The skimmer's onboard flash was imaged only through a hardware write-blocker, and the phone was extracted using a verified read-only interface mode. Both measures make it physically impossible for the acquisition process to write back to the source device, which is what allows the resulting image to be treated as a faithful, unaltered copy of the original.</w:t>
      </w:r>
    </w:p>
    <w:p>
      <w:pPr>
        <w:pStyle w:val="Heading2"/>
        <w:spacing w:after="120" w:before="200"/>
      </w:pPr>
      <w:r>
        <w:rPr>
          <w:b/>
          <w:bCs/>
          <w:i/>
          <w:iCs/>
        </w:rPr>
        <w:t xml:space="preserve">3.3 Cryptographic Hashing</w:t>
      </w:r>
    </w:p>
    <w:p>
      <w:pPr>
        <w:spacing w:after="160" w:line="276"/>
        <w:jc w:val="both"/>
      </w:pPr>
      <w:r>
        <w:t xml:space="preserve">A SHA-256 hash was generated for every extracted file immediately after acquisition — sixteen files across both exhibits, more than three times the minimum of five specified for this exercise — and recorded on the chain-of-custody form at that point. The locked archive discussed in Section 5 was hashed while it was still password-protected, so its pre-crack state is provable independently of whatever the password recovery process later revealed. Hashes were re-checked at every later transfer or access; because SHA-256 produces a completely different digest for even a single-bit change, a mismatch at any stage would immediately flag that the copy could no longer be treated as forensically sound.</w:t>
      </w:r>
    </w:p>
    <w:p>
      <w:pPr>
        <w:pStyle w:val="Heading2"/>
        <w:spacing w:after="120" w:before="200"/>
      </w:pPr>
      <w:r>
        <w:rPr>
          <w:b/>
          <w:bCs/>
          <w:i/>
          <w:iCs/>
        </w:rPr>
        <w:t xml:space="preserve">3.4 Chain of Custody</w:t>
      </w:r>
    </w:p>
    <w:p>
      <w:pPr>
        <w:spacing w:after="160" w:line="276"/>
        <w:jc w:val="both"/>
      </w:pPr>
      <w:r>
        <w:t xml:space="preserve">Every seizure, transfer and analysis event for both exhibits was recorded on a dedicated chain-of-custody form — date, time, custodian and purpose — with independent panch witnesses present at the point of seizure, consistent with Indian criminal procedure. Exhibit A was seized from the ATM lobby at 18:40 IST on 18 March 2026 and Exhibit B from the suspect's residence half an hour later, and both were logged through transport, imaging/extraction, and return to secure storage without a gap in accountability. This is important because an unexplained gap in custody is typically the first point on which digital evidence is challenged in court, and a fully logged chain removes that avenue of challenge.</w:t>
      </w:r>
    </w:p>
    <w:p>
      <w:pPr>
        <w:pStyle w:val="Heading1"/>
        <w:spacing w:after="160" w:before="320"/>
      </w:pPr>
      <w:r>
        <w:rPr>
          <w:b/>
          <w:bCs/>
        </w:rPr>
        <w:t xml:space="preserve">4. Challenges in Cross-Border Investigation and Cooperation</w:t>
      </w:r>
    </w:p>
    <w:p>
      <w:pPr>
        <w:spacing w:after="160" w:line="276"/>
        <w:jc w:val="both"/>
      </w:pPr>
      <w:r>
        <w:t xml:space="preserve">The domestic evidence base against the two identified suspects is strong, but the courier cash-out network operating outside India illustrates the practical limits of pursuing cybercrime once it crosses a jurisdictional boundary.</w:t>
      </w:r>
    </w:p>
    <w:p>
      <w:pPr>
        <w:pStyle w:val="ListParagraph"/>
        <w:numPr>
          <w:ilvl w:val="0"/>
          <w:numId w:val="1"/>
        </w:numPr>
        <w:spacing w:after="100" w:line="276"/>
      </w:pPr>
      <w:r>
        <w:t xml:space="preserve">Treaty gap: India has not signed the Budapest Convention on Cybercrime, the main multilateral instrument for fast-tracked cross-border evidence requests. Domestic law substantively covers the same conduct, but without treaty membership, investigators must fall back on slower bilateral Mutual Legal Assistance Treaties (MLATs) or informal liaison channels.</w:t>
      </w:r>
    </w:p>
    <w:p>
      <w:pPr>
        <w:pStyle w:val="ListParagraph"/>
        <w:numPr>
          <w:ilvl w:val="0"/>
          <w:numId w:val="1"/>
        </w:numPr>
        <w:spacing w:after="100" w:line="276"/>
      </w:pPr>
      <w:r>
        <w:t xml:space="preserve">Timing mismatch: MLAT requests can take months to process, while cloud logs, IP allocation records and exchange records held abroad are often retained for much shorter periods, creating a real risk that evidence expires before a formal request is answered.</w:t>
      </w:r>
    </w:p>
    <w:p>
      <w:pPr>
        <w:pStyle w:val="ListParagraph"/>
        <w:numPr>
          <w:ilvl w:val="0"/>
          <w:numId w:val="1"/>
        </w:numPr>
        <w:spacing w:after="100" w:line="276"/>
      </w:pPr>
      <w:r>
        <w:t xml:space="preserve">Conflicting data-protection regimes: the country holding the requested data may have its own restrictions on disclosure to a foreign agency, requiring the request to be reframed so it satisfies both legal systems at once.</w:t>
      </w:r>
    </w:p>
    <w:p>
      <w:pPr>
        <w:pStyle w:val="ListParagraph"/>
        <w:numPr>
          <w:ilvl w:val="0"/>
          <w:numId w:val="1"/>
        </w:numPr>
        <w:spacing w:after="100" w:line="276"/>
      </w:pPr>
      <w:r>
        <w:t xml:space="preserve">Limited reach into the courier layer: cash-out abroad is typically carried out by low-level, replaceable couriers, so even a successful cross-border request is likely to reach only that layer rather than whoever is directing the scheme.</w:t>
      </w:r>
    </w:p>
    <w:p>
      <w:pPr>
        <w:pStyle w:val="ListParagraph"/>
        <w:numPr>
          <w:ilvl w:val="0"/>
          <w:numId w:val="1"/>
        </w:numPr>
        <w:spacing w:after="100" w:line="276"/>
      </w:pPr>
      <w:r>
        <w:t xml:space="preserve">Cryptocurrency tracing: the partial conversion of proceeds to cryptocurrency noted in the mule-account records adds a further cross-border dimension, since the relevant exchange may sit in a jurisdiction with limited cooperation obligations and wallet ownership is not inherently tied to a real identity.</w:t>
      </w:r>
    </w:p>
    <w:p>
      <w:pPr>
        <w:spacing w:after="160" w:line="276"/>
        <w:jc w:val="both"/>
      </w:pPr>
      <w:r>
        <w:t xml:space="preserve">These constraints affect only the reach of the investigation into the organised network abroad — they do not weaken the domestic case already built against the two suspects identified in India on the strength of the evidence described in Sections 2 and 3.</w:t>
      </w:r>
    </w:p>
    <w:p>
      <w:pPr>
        <w:pStyle w:val="Heading1"/>
        <w:spacing w:after="160" w:before="320"/>
      </w:pPr>
      <w:r>
        <w:rPr>
          <w:b/>
          <w:bCs/>
        </w:rPr>
        <w:t xml:space="preserve">5. Cryptography Component: Password Recovery</w:t>
      </w:r>
    </w:p>
    <w:p>
      <w:pPr>
        <w:spacing w:after="160" w:line="276"/>
        <w:jc w:val="both"/>
      </w:pPr>
      <w:r>
        <w:t xml:space="preserve">One archive recovered from Exhibit B, protected_evidence.zip, was found to be password-protected. It was hashed in its still-locked state before any recovery attempt, so its pre-crack condition is separately provable. A dictionary attack was then run against the archive using a common-password wordlist, checking each candidate password in turn against the archive. The correct password, sunshine1, was recovered after 21 attempts in a couple of milliseconds — a dictionary attack rather than a brute-force search, since it succeeded specifically because the password appears on almost every publicly available common-password list, not because of raw computing power.</w:t>
      </w:r>
    </w:p>
    <w:p>
      <w:pPr>
        <w:spacing w:after="160" w:line="276"/>
        <w:jc w:val="both"/>
      </w:pPr>
      <w:r>
        <w:t xml:space="preserve">The archive's contents once opened — a mule-account list with a proceeds-split ratio, and a list of target branches — supplied the final artefact linking the case to organised laundering. This underlines a pattern seen repeatedly in real investigations: the practical point of compromise is usually a weak or reused password rather than any cryptographic weakness, which is why a wordlist-first approach is worth attempting before committing to a resource-intensive brute-force run.</w:t>
      </w:r>
    </w:p>
    <w:p>
      <w:pPr>
        <w:spacing w:after="160" w:line="276"/>
        <w:jc w:val="both"/>
      </w:pPr>
      <w:r>
        <w:t xml:space="preserve">There is a genuine ethical distinction between this kind of technical cracking and a lawful decryption request. Cracking a password on evidence that has already been lawfully seized under a valid warrant, and confining the attempt strictly to that evidence, is a widely accepted investigative step provided it is fully documented, as it was here. Compelling a suspect to disclose a password directly, by contrast, can raise self-incrimination concerns in some legal systems, which is one reason investigators often prefer to attempt technical recovery on lawfully seized material first rather than relying solely on compelled disclosure.</w:t>
      </w:r>
    </w:p>
    <w:p>
      <w:pPr>
        <w:pStyle w:val="Heading1"/>
        <w:spacing w:after="160" w:before="320"/>
      </w:pPr>
      <w:r>
        <w:rPr>
          <w:b/>
          <w:bCs/>
        </w:rPr>
        <w:t xml:space="preserve">6. Recommendations for Law Enforcement SOP Improvements</w:t>
      </w:r>
    </w:p>
    <w:p>
      <w:pPr>
        <w:pStyle w:val="ListParagraph"/>
        <w:numPr>
          <w:ilvl w:val="0"/>
          <w:numId w:val="1"/>
        </w:numPr>
        <w:spacing w:after="100" w:line="276"/>
      </w:pPr>
      <w:r>
        <w:t xml:space="preserve">Make a wordlist-first dictionary attack the mandatory first step for any password-protected evidence container, before escalating to slower brute-force or vendor-assistance routes.</w:t>
      </w:r>
    </w:p>
    <w:p>
      <w:pPr>
        <w:pStyle w:val="ListParagraph"/>
        <w:numPr>
          <w:ilvl w:val="0"/>
          <w:numId w:val="1"/>
        </w:numPr>
        <w:spacing w:after="100" w:line="276"/>
      </w:pPr>
      <w:r>
        <w:t xml:space="preserve">Adopt a digital evidence management system that enforces hashing at acquisition and at every subsequent transfer automatically, rather than relying on individual investigators to remember the step.</w:t>
      </w:r>
    </w:p>
    <w:p>
      <w:pPr>
        <w:pStyle w:val="ListParagraph"/>
        <w:numPr>
          <w:ilvl w:val="0"/>
          <w:numId w:val="1"/>
        </w:numPr>
        <w:spacing w:after="100" w:line="276"/>
      </w:pPr>
      <w:r>
        <w:t xml:space="preserve">Establish a round-the-clock single point of contact for cybercrime cooperation requests, mirroring the kind of facility the Budapest Convention requires of its members, to reduce response times with countries that are themselves party to it even though India is not.</w:t>
      </w:r>
    </w:p>
    <w:p>
      <w:pPr>
        <w:pStyle w:val="ListParagraph"/>
        <w:numPr>
          <w:ilvl w:val="0"/>
          <w:numId w:val="1"/>
        </w:numPr>
        <w:spacing w:after="100" w:line="276"/>
      </w:pPr>
      <w:r>
        <w:t xml:space="preserve">Negotiate standing data-preservation arrangements with major cloud and cryptocurrency-exchange providers so a "freeze but do not yet disclose" request can be issued within hours, buying time for a slower formal MLAT request to be completed before the underlying data expires.</w:t>
      </w:r>
    </w:p>
    <w:p>
      <w:pPr>
        <w:pStyle w:val="ListParagraph"/>
        <w:numPr>
          <w:ilvl w:val="0"/>
          <w:numId w:val="1"/>
        </w:numPr>
        <w:spacing w:after="100" w:line="276"/>
      </w:pPr>
      <w:r>
        <w:t xml:space="preserve">Provide standard training in mobile-malware and skimmer-firmware analysis to first-responding officers, so that time-sensitive volatile indicators such as active Bluetooth pairings are not lost between seizure and arrival at the forensic lab.</w:t>
      </w:r>
    </w:p>
    <w:p>
      <w:pPr>
        <w:pStyle w:val="ListParagraph"/>
        <w:numPr>
          <w:ilvl w:val="0"/>
          <w:numId w:val="1"/>
        </w:numPr>
        <w:spacing w:after="100" w:line="276"/>
      </w:pPr>
      <w:r>
        <w:t xml:space="preserve">Require cross-referencing of artefacts across all seized exhibits as a standard analytical step, since corroborated multi-source evidence, as demonstrated in Section 2, is far more resilient to defence challenge than any single artefact considered on its own.</w:t>
      </w:r>
    </w:p>
    <w:p>
      <w:pPr>
        <w:pStyle w:val="Heading1"/>
        <w:spacing w:after="160" w:before="320"/>
      </w:pPr>
      <w:r>
        <w:rPr>
          <w:b/>
          <w:bCs/>
        </w:rPr>
        <w:t xml:space="preserve">7. Conclusion</w:t>
      </w:r>
    </w:p>
    <w:p>
      <w:pPr>
        <w:spacing w:after="160" w:line="276"/>
        <w:jc w:val="both"/>
      </w:pPr>
      <w:r>
        <w:t xml:space="preserve">The domestic case against the two suspects identified in Operation Phantom Swipe rests on hash-verified, cross-corroborated digital evidence gathered under a fully documented chain of custody and mapped to specific provisions of the IT Act 2000 and the Indian Penal Code, 1860. The investigation's principal limitation is jurisdictional rather than evidentiary: reaching the organised cash-out network operating beyond India's borders depends on cooperation mechanisms that remain slower and less certain than they would be under a framework such as the Budapest Convention. The recommendations set out above are aimed at narrowing that gap within the current legal framework, while the broader policy question of whether India should accede to the Convention lies outside the scope of any single investigation.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2026-08-23T14:24:21.315Z</dcterms:created>
  <dcterms:modified xsi:type="dcterms:W3CDTF">2026-08-23T14:24:21.327Z</dcterms:modified>
</cp:coreProperties>
</file>

<file path=docProps/custom.xml><?xml version="1.0" encoding="utf-8"?>
<Properties xmlns="http://schemas.openxmlformats.org/officeDocument/2006/custom-properties" xmlns:vt="http://schemas.openxmlformats.org/officeDocument/2006/docPropsVTypes"/>
</file>