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rPr>
          <w:trHeight w:val="907"/>
        </w:trPr>
        <w:tc>
          <w:tcPr>
            <w:tcW w:type="dxa" w:w="912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POLITYKA PRYWATNOŚCI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A3A5C"/>
          <w:sz w:val="22"/>
        </w:rPr>
        <w:t>Omega Workforce</w:t>
      </w:r>
    </w:p>
    <w:p>
      <w:pPr>
        <w:jc w:val="center"/>
      </w:pPr>
      <w:r>
        <w:rPr>
          <w:rFonts w:ascii="Calibri" w:hAnsi="Calibri"/>
          <w:b/>
          <w:color w:val="1A3A5C"/>
          <w:sz w:val="22"/>
        </w:rPr>
        <w:t>Omega Spółka z ograniczoną odpowiedzialnością · os. Stefana Batorego 14/81, 60-687 Poznań</w:t>
      </w:r>
    </w:p>
    <w:p>
      <w:pPr>
        <w:jc w:val="center"/>
      </w:pPr>
      <w:r>
        <w:rPr>
          <w:rFonts w:ascii="Calibri" w:hAnsi="Calibri"/>
          <w:b/>
          <w:color w:val="1A3A5C"/>
          <w:sz w:val="22"/>
        </w:rPr>
        <w:t>Obowiązuje od dnia 1 lipca 2025 r. · Wersja 1.0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EAF0F8"/>
            <w:tcBorders>
              <w:bottom w:val="single" w:sz="6" w:space="0" w:color="1A3A5C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1A3A5C"/>
                <w:sz w:val="19"/>
              </w:rPr>
              <w:t>Niniejsza Polityka Prywatności (dalej: „Polityka") opisuje zasady przetwarzania danych osobowych przez Omega Spółka z ograniczoną odpowiedzialnością w związku z prowadzeniem serwisu internetowego www.omegaworkforce.pl oraz realizacją usług pośrednictwa pracy. Polityka spełnia obowiązki informacyjne wynikające z art. 13 i 14 Rozporządzenia RODO.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1  ADMINISTRATOR DANYCH OSOBOWYCH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Administratorem Twoich danych osobowych jest: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EAF0F8"/>
            <w:tcBorders>
              <w:bottom w:val="single" w:sz="6" w:space="0" w:color="1A3A5C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1A3A5C"/>
                <w:sz w:val="19"/>
              </w:rPr>
              <w:t>Omega Spółka z ograniczoną odpowiedzialnością</w:t>
              <w:br/>
              <w:t>os. Stefana Batorego 14/81, 60-687 Poznań</w:t>
              <w:br/>
              <w:t>KRS: 0000853422 | NIP: 7812011724 | REGON: 386693099</w:t>
              <w:br/>
              <w:t>e-mail: kontakt@omegaworkforce.pl</w:t>
              <w:br/>
              <w:t>www: www.omegaworkforce.pl</w:t>
              <w:br/>
              <w:t>Prezes Zarządu: Paweł Klimankowicz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Administrator przetwarza dane osobowe zgodnie z Rozporządzeniem Parlamentu Europejskiego i Rady (UE) 2016/679 z dnia 27 kwietnia 2016 r. w sprawie ochrony osób fizycznych w związku z przetwarzaniem danych osobowych i w sprawie swobodnego przepływu takich danych (RODO/GDPR) oraz z ustawą z dnia 10 maja 2018 r. o ochronie danych osobowych (Dz.U. z 2019 r. poz. 1781 ze zm.).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We wszelkich sprawach dotyczących ochrony danych osobowych można kontaktować się z Administratorem pod adresem e-mail: rodo@omegaworkforce.pl lub pisemnie na adres siedziby Administratora.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2  KATEGORIE OSÓB, KTÓRYCH DANE SĄ PRZETWARZANE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b w:val="0"/>
          <w:i w:val="0"/>
          <w:color w:val="1A1A1A"/>
          <w:sz w:val="20"/>
        </w:rPr>
        <w:t>Administrator przetwarza dane osobowe następujących kategorii osób: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Użytkownicy Serwisu – osoby przeglądające stronę www.omegaworkforce.pl, wypełniające formularze kontaktowe, zapisujące się do newslettera.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Kandydaci – osoby fizyczne ubiegające się o pracę lub nawiązanie współpracy B2B (JDG) za pośrednictwem Agencji.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Podwykonawcy (JDG) – osoby fizyczne prowadzące jednoosobową działalność gospodarczą, które zawarły lub zamierzają zawrzeć umowę o współpracy z Agencją.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Klienci / Kontrahenci – osoby fizyczne będące przedsiębiorcami (JDG) lub reprezentanci/pełnomocnicy klientów instytucjonalnych (spółki, inne podmioty).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5. </w:t>
      </w:r>
      <w:r>
        <w:rPr>
          <w:rFonts w:ascii="Calibri" w:hAnsi="Calibri"/>
          <w:color w:val="1A1A1A"/>
          <w:sz w:val="20"/>
        </w:rPr>
        <w:t>Osoby kontaktowe po stronie Klientów – pracownicy, managerowie i inne osoby wskazane przez Klientów do komunikacji z Agencją.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3  CELE I PODSTAWY PRAWNE PRZETWARZANIA DANYCH</w:t>
            </w:r>
          </w:p>
        </w:tc>
      </w:tr>
    </w:tbl>
    <w:p/>
    <w:p>
      <w:pPr>
        <w:spacing w:before="80" w:after="40"/>
      </w:pPr>
      <w:r>
        <w:rPr>
          <w:rFonts w:ascii="Calibri" w:hAnsi="Calibri"/>
          <w:b/>
          <w:color w:val="6B1020"/>
          <w:sz w:val="20"/>
        </w:rPr>
        <w:t>A. Użytkownicy Serwisu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5953"/>
      </w:tblGrid>
      <w:tr>
        <w:tc>
          <w:tcPr>
            <w:tcW w:type="dxa" w:w="4561"/>
            <w:shd w:val="clear" w:color="auto" w:fill="C8D8E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223A"/>
                <w:sz w:val="19"/>
              </w:rPr>
              <w:t>Cel przetwarzania</w:t>
            </w:r>
          </w:p>
        </w:tc>
        <w:tc>
          <w:tcPr>
            <w:tcW w:type="dxa" w:w="4561"/>
            <w:shd w:val="clear" w:color="auto" w:fill="C8D8E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223A"/>
                <w:sz w:val="19"/>
              </w:rPr>
              <w:t>Podstawa prawna (art. RODO)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Prowadzenie statystyk i analiza ruchu na stronie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f RODO – uzasadniony interes Administratora (optymalizacja Serwisu)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Odpowiedź na zapytanie przesłane formularzem kontaktowym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f RODO – uzasadniony interes (komunikacja z zainteresowanymi)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Wysyłka newslettera / materiałów marketingowych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a RODO – zgoda osoby, której dane dotyczą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Obsługa plików cookie i lokalnego przechowywania danych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a RODO – zgoda (dla cookies niezbędnych: uzasadniony interes)</w:t>
            </w:r>
          </w:p>
        </w:tc>
      </w:tr>
    </w:tbl>
    <w:p/>
    <w:p>
      <w:pPr>
        <w:spacing w:before="80" w:after="40"/>
      </w:pPr>
      <w:r>
        <w:rPr>
          <w:rFonts w:ascii="Calibri" w:hAnsi="Calibri"/>
          <w:b/>
          <w:color w:val="6B1020"/>
          <w:sz w:val="20"/>
        </w:rPr>
        <w:t>B. Kandydaci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5953"/>
      </w:tblGrid>
      <w:tr>
        <w:tc>
          <w:tcPr>
            <w:tcW w:type="dxa" w:w="4561"/>
            <w:shd w:val="clear" w:color="auto" w:fill="C8D8E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223A"/>
                <w:sz w:val="19"/>
              </w:rPr>
              <w:t>Cel przetwarzania</w:t>
            </w:r>
          </w:p>
        </w:tc>
        <w:tc>
          <w:tcPr>
            <w:tcW w:type="dxa" w:w="4561"/>
            <w:shd w:val="clear" w:color="auto" w:fill="C8D8E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223A"/>
                <w:sz w:val="19"/>
              </w:rPr>
              <w:t>Podstawa prawna (art. RODO)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Prowadzenie procesu rekrutacji / onboardingu JDG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b RODO – działania przed zawarciem umowy; art. 6 ust. 1 lit. a RODO – zgoda (dane wykraczające poza art. 22¹ KP)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Przyszłe procesy rekrutacyjne (baza talentów)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a RODO – zgoda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Wypełnienie obowiązków wynikających z ustawy o promocji zatrudnienia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c RODO – obowiązek prawny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Dochodzenie roszczeń lub obrona przed roszczeniami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f RODO – uzasadniony interes</w:t>
            </w:r>
          </w:p>
        </w:tc>
      </w:tr>
    </w:tbl>
    <w:p/>
    <w:p>
      <w:pPr>
        <w:spacing w:before="80" w:after="40"/>
      </w:pPr>
      <w:r>
        <w:rPr>
          <w:rFonts w:ascii="Calibri" w:hAnsi="Calibri"/>
          <w:b/>
          <w:color w:val="6B1020"/>
          <w:sz w:val="20"/>
        </w:rPr>
        <w:t>C. Podwykonawcy (JDG) i Klienci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5953"/>
      </w:tblGrid>
      <w:tr>
        <w:tc>
          <w:tcPr>
            <w:tcW w:type="dxa" w:w="4561"/>
            <w:shd w:val="clear" w:color="auto" w:fill="C8D8E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223A"/>
                <w:sz w:val="19"/>
              </w:rPr>
              <w:t>Cel przetwarzania</w:t>
            </w:r>
          </w:p>
        </w:tc>
        <w:tc>
          <w:tcPr>
            <w:tcW w:type="dxa" w:w="4561"/>
            <w:shd w:val="clear" w:color="auto" w:fill="C8D8E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223A"/>
                <w:sz w:val="19"/>
              </w:rPr>
              <w:t>Podstawa prawna (art. RODO)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Zawarcie i realizacja umowy o współpracy / pośrednictwa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b RODO – wykonanie umowy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Wystawianie faktur i rozliczenia finansowe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c RODO – obowiązek prawny (przepisy podatkowe i rachunkowe)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Obowiązki wynikające z przepisów prawa (AML, KRAZ)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c RODO – obowiązek prawny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Bieżąca komunikacja, koordynacja realizacji zleceń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b i f RODO – wykonanie umowy / uzasadniony interes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Dochodzenie roszczeń lub obrona przed roszczeniami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f RODO – uzasadniony interes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Marketing bezpośredni własnych usług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Art. 6 ust. 1 lit. f RODO – uzasadniony interes (z prawem sprzeciwu)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4  KATEGORIE PRZETWARZANYCH DANYCH OSOBOWYCH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W zależności od celu przetwarzania Administrator przetwarza następujące kategorie danych:</w:t>
      </w:r>
    </w:p>
    <w:p>
      <w:pPr>
        <w:spacing w:before="80" w:after="40"/>
      </w:pPr>
      <w:r>
        <w:rPr>
          <w:rFonts w:ascii="Calibri" w:hAnsi="Calibri"/>
          <w:b/>
          <w:color w:val="6B1020"/>
          <w:sz w:val="20"/>
        </w:rPr>
        <w:t>Użytkownicy Serwisu:</w:t>
      </w:r>
    </w:p>
    <w:p>
      <w:pPr>
        <w:spacing w:before="20" w:after="60"/>
        <w:ind w:left="397"/>
      </w:pPr>
      <w:r>
        <w:rPr>
          <w:rFonts w:ascii="Calibri" w:hAnsi="Calibri"/>
          <w:b w:val="0"/>
          <w:i w:val="0"/>
          <w:color w:val="1A1A1A"/>
          <w:sz w:val="20"/>
        </w:rPr>
        <w:t>adres IP, dane plików cookie, czas i źródło wizyty, przeglądane strony, opcjonalnie: imię, adres e-mail (formularz kontaktowy, newsletter).</w:t>
      </w:r>
    </w:p>
    <w:p>
      <w:pPr>
        <w:spacing w:before="80" w:after="40"/>
      </w:pPr>
      <w:r>
        <w:rPr>
          <w:rFonts w:ascii="Calibri" w:hAnsi="Calibri"/>
          <w:b/>
          <w:color w:val="6B1020"/>
          <w:sz w:val="20"/>
        </w:rPr>
        <w:t>Kandydaci:</w:t>
      </w:r>
    </w:p>
    <w:p>
      <w:pPr>
        <w:spacing w:before="20" w:after="60"/>
        <w:ind w:left="397"/>
      </w:pPr>
      <w:r>
        <w:rPr>
          <w:rFonts w:ascii="Calibri" w:hAnsi="Calibri"/>
          <w:b w:val="0"/>
          <w:i w:val="0"/>
          <w:color w:val="1A1A1A"/>
          <w:sz w:val="20"/>
        </w:rPr>
        <w:t>imię i nazwisko, data urodzenia, adres zamieszkania, numer PESEL, seria i numer dokumentu tożsamości, adres e-mail, numer telefonu, wykształcenie, historia zatrudnienia, kwalifikacje zawodowe, znajomość języków, ewentualnie – za zgodą – zdjęcie; dane JDG (NIP, REGON, numer konta bankowego).</w:t>
      </w:r>
    </w:p>
    <w:p>
      <w:pPr>
        <w:spacing w:before="80" w:after="40"/>
      </w:pPr>
      <w:r>
        <w:rPr>
          <w:rFonts w:ascii="Calibri" w:hAnsi="Calibri"/>
          <w:b/>
          <w:color w:val="6B1020"/>
          <w:sz w:val="20"/>
        </w:rPr>
        <w:t>Podwykonawcy (JDG):</w:t>
      </w:r>
    </w:p>
    <w:p>
      <w:pPr>
        <w:spacing w:before="20" w:after="60"/>
        <w:ind w:left="397"/>
      </w:pPr>
      <w:r>
        <w:rPr>
          <w:rFonts w:ascii="Calibri" w:hAnsi="Calibri"/>
          <w:b w:val="0"/>
          <w:i w:val="0"/>
          <w:color w:val="1A1A1A"/>
          <w:sz w:val="20"/>
        </w:rPr>
        <w:t>imię i nazwisko, PESEL, seria i numer dokumentu tożsamości (paszport/dowód osobisty), adres zameldowania/zamieszkania, adres e-mail, numer telefonu, firma i adres JDG, NIP, REGON, numer CEIDG, numer rachunku bankowego, kod IBAN, status rezydencji podatkowej, orzeczenie o niepełnosprawności (jeśli przekazane dobrowolnie).</w:t>
      </w:r>
    </w:p>
    <w:p>
      <w:pPr>
        <w:spacing w:before="80" w:after="40"/>
      </w:pPr>
      <w:r>
        <w:rPr>
          <w:rFonts w:ascii="Calibri" w:hAnsi="Calibri"/>
          <w:b/>
          <w:color w:val="6B1020"/>
          <w:sz w:val="20"/>
        </w:rPr>
        <w:t>Klienci (osoby fizyczne / osoby kontaktowe):</w:t>
      </w:r>
    </w:p>
    <w:p>
      <w:pPr>
        <w:spacing w:before="20" w:after="60"/>
        <w:ind w:left="397"/>
      </w:pPr>
      <w:r>
        <w:rPr>
          <w:rFonts w:ascii="Calibri" w:hAnsi="Calibri"/>
          <w:b w:val="0"/>
          <w:i w:val="0"/>
          <w:color w:val="1A1A1A"/>
          <w:sz w:val="20"/>
        </w:rPr>
        <w:t>imię i nazwisko, stanowisko, adres e-mail służbowy, numer telefonu służbowego, dane do fakturowania (firma, adres, NIP).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FFF4E5"/>
            <w:tcBorders>
              <w:bottom w:val="single" w:sz="6" w:space="0" w:color="E08000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7A4A00"/>
                <w:sz w:val="19"/>
              </w:rPr>
              <w:t>Administrator nie przetwarza danych szczególnych kategorii (art. 9 RODO) – danych dotyczących zdrowia, orientacji seksualnej, przekonań politycznych ani religijnych – za wyjątkiem danych o niepełnosprawności, jeżeli zostały przekazane dobrowolnie przez Podwykonawcę w celu skorzystania z uprawnień wynikających z przepisów prawa.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5  OKRES PRZECHOWYWANIA DANYCH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b w:val="0"/>
          <w:i w:val="0"/>
          <w:color w:val="1A1A1A"/>
          <w:sz w:val="20"/>
        </w:rPr>
        <w:t>Dane osobowe są przechowywane przez okres niezbędny do realizacji celów, dla których zostały zebrane: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85"/>
        <w:gridCol w:w="5386"/>
      </w:tblGrid>
      <w:tr>
        <w:tc>
          <w:tcPr>
            <w:tcW w:type="dxa" w:w="4561"/>
            <w:shd w:val="clear" w:color="auto" w:fill="C8D8E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223A"/>
                <w:sz w:val="19"/>
              </w:rPr>
              <w:t>Kategoria danych</w:t>
            </w:r>
          </w:p>
        </w:tc>
        <w:tc>
          <w:tcPr>
            <w:tcW w:type="dxa" w:w="4561"/>
            <w:shd w:val="clear" w:color="auto" w:fill="C8D8E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223A"/>
                <w:sz w:val="19"/>
              </w:rPr>
              <w:t>Okres przechowywania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Kandydaci – bieżąca rekrutacja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Do zakończenia procesu rekrutacyjnego, max. 6 miesięcy od ostatniego kontaktu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Kandydaci – baza talentów (za zgodą)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Do cofnięcia zgody, max. 2 lata od jej udzielenia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Podwykonawcy (JDG) – dane kontraktowe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6 lat od zakończenia umowy (termin przedawnienia roszczeń cywilnych)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Podwykonawcy (JDG) – dokumenty księgowe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5 lat od końca roku podatkowego (przepisy podatkowe)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Klienci / Kontrahenci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6 lat od zakończenia umowy / ostatniej transakcji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Faktury i dokumenty rachunkowe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5 lat od końca roku podatkowego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Dane z formularza kontaktowego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12 miesięcy od ostatniego kontaktu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Newsletter / marketing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Do cofnięcia zgody lub wniesienia sprzeciwu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Pliki cookie analityczne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Zgodnie z ustawieniami przeglądarki / polityki cookies (max. 24 miesiące)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Logi serwera (adresy IP)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12 miesięcy od daty wpisu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6  ODBIORCY DANYCH OSOBOWYCH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Dane osobowe mogą być przekazywane następującym kategoriom odbiorców: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Klientom (pracodawcom/zleceniodawcom) – w zakresie niezbędnym do zrealizowania usługi pośrednictwa (np. CV, kwalifikacje, dane kontaktowe Podwykonawcy).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Podmiotom przetwarzającym dane na zlecenie Administratora (art. 28 RODO): dostawcom oprogramowania CRM/ATS, systemów kadrowo-płacowych, usług hostingowych, chmurowych i poczty elektronicznej – wyłącznie na podstawie umów powierzenia przetwarzania danych.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Biurom rachunkowym i doradcom podatkowym – w zakresie niezbędnym do rozliczeń finansowych.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d) </w:t>
      </w:r>
      <w:r>
        <w:rPr>
          <w:rFonts w:ascii="Calibri" w:hAnsi="Calibri"/>
          <w:color w:val="1A1A1A"/>
          <w:sz w:val="20"/>
        </w:rPr>
        <w:t>Kancelariom prawnym – w przypadku dochodzenia roszczeń lub obrony przed nimi.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e) </w:t>
      </w:r>
      <w:r>
        <w:rPr>
          <w:rFonts w:ascii="Calibri" w:hAnsi="Calibri"/>
          <w:color w:val="1A1A1A"/>
          <w:sz w:val="20"/>
        </w:rPr>
        <w:t>Organom publicznym – ZUS, Urząd Skarbowy, Państwowa Inspekcja Pracy, UODO – wyłącznie na podstawie bezwzględnie obowiązujących przepisów prawa.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Administrator nie sprzedaje, nie udostępnia ani nie wydzierżawia danych osobowych podmiotom trzecim w celach marketingowych bez wyraźnej zgody osoby, której dane dotyczą.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7  PRZEKAZYWANIE DANYCH DO PAŃSTW TRZECICH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Administrator co do zasady nie przekazuje danych osobowych do państw trzecich (poza Europejski Obszar Gospodarczy – EOG) ani do organizacji międzynarodowych.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Jeżeli korzystanie z określonych narzędzi technologicznych (np. poczta e-mail w chmurze, systemy CRM) wiąże się z transferem danych poza EOG, Administrator zapewnia, że odbywa się on wyłącznie: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na podstawie decyzji Komisji Europejskiej stwierdzającej odpowiedni poziom ochrony (art. 45 RODO), lub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przy zastosowaniu standardowych klauzul umownych przyjętych przez Komisję Europejską (art. 46 ust. 2 lit. c RODO).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Na żądanie osoby, której dane dotyczą, Administrator udzieli informacji o zabezpieczeniach stosowanych przy transferze danych.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8  PRAWA OSÓB, KTÓRYCH DANE DOTYCZĄ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b w:val="0"/>
          <w:i w:val="0"/>
          <w:color w:val="1A1A1A"/>
          <w:sz w:val="20"/>
        </w:rPr>
        <w:t>Każdej osobie, której dane przetwarza Administrator, przysługują następujące uprawnienia wynikające z RODO: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5953"/>
      </w:tblGrid>
      <w:tr>
        <w:tc>
          <w:tcPr>
            <w:tcW w:type="dxa" w:w="4561"/>
            <w:shd w:val="clear" w:color="auto" w:fill="C8D8E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223A"/>
                <w:sz w:val="19"/>
              </w:rPr>
              <w:t>Uprawnienie</w:t>
            </w:r>
          </w:p>
        </w:tc>
        <w:tc>
          <w:tcPr>
            <w:tcW w:type="dxa" w:w="4561"/>
            <w:shd w:val="clear" w:color="auto" w:fill="C8D8E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223A"/>
                <w:sz w:val="19"/>
              </w:rPr>
              <w:t>Opis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A3A5C"/>
                <w:sz w:val="19"/>
              </w:rPr>
              <w:t>Prawo dostępu (art. 15)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Uzyskanie potwierdzenia, czy dane są przetwarzane; wgląd w treść danych i informacje o przetwarzaniu.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A3A5C"/>
                <w:sz w:val="19"/>
              </w:rPr>
              <w:t>Prawo do sprostowania (art. 16)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Żądanie niezwłocznego sprostowania nieprawidłowych lub uzupełnienia niekompletnych danych.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A3A5C"/>
                <w:sz w:val="19"/>
              </w:rPr>
              <w:t>Prawo do usunięcia (art. 17)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Żądanie usunięcia danych (tzw. „prawo do bycia zapomnianym") – jeśli spełnione są przesłanki art. 17 ust. 1 RODO.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A3A5C"/>
                <w:sz w:val="19"/>
              </w:rPr>
              <w:t>Prawo do ograniczenia przetwarzania (art. 18)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Żądanie ograniczenia przetwarzania danych w przypadkach wskazanych w art. 18 RODO.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A3A5C"/>
                <w:sz w:val="19"/>
              </w:rPr>
              <w:t>Prawo do przenoszenia danych (art. 20)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Otrzymanie danych w ustrukturyzowanym formacie lub przesłanie ich innemu administratorowi – gdy podstawą jest zgoda lub umowa.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A3A5C"/>
                <w:sz w:val="19"/>
              </w:rPr>
              <w:t>Prawo sprzeciwu (art. 21)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Sprzeciw wobec przetwarzania opartego na uzasadnionym interesie administratora lub celach marketingowych.</w:t>
            </w:r>
          </w:p>
        </w:tc>
      </w:tr>
      <w:tr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A3A5C"/>
                <w:sz w:val="19"/>
              </w:rPr>
              <w:t>Prawo cofnięcia zgody (art. 7 ust. 3)</w:t>
            </w:r>
          </w:p>
        </w:tc>
        <w:tc>
          <w:tcPr>
            <w:tcW w:type="dxa" w:w="4561"/>
            <w:shd w:val="clear" w:color="auto" w:fill="FFFF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Wycofanie zgody w każdym czasie, bez wpływu na zgodność z prawem przetwarzania przed jej cofnięciem.</w:t>
            </w:r>
          </w:p>
        </w:tc>
      </w:tr>
      <w:tr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A3A5C"/>
                <w:sz w:val="19"/>
              </w:rPr>
              <w:t>Prawo do skargi (art. 77)</w:t>
            </w:r>
          </w:p>
        </w:tc>
        <w:tc>
          <w:tcPr>
            <w:tcW w:type="dxa" w:w="4561"/>
            <w:shd w:val="clear" w:color="auto" w:fill="F4F8FF"/>
            <w:tcBorders>
              <w:bottom w:val="single" w:sz="3" w:space="0" w:color="DDDDDD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Wniesienie skargi do Prezesa Urzędu Ochrony Danych Osobowych (UODO), ul. Stawki 2, 00-193 Warszawa.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W celu skorzystania z powyższych praw należy skontaktować się z Administratorem: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pisemnie: Omega Sp. z o.o., os. Stefana Batorego 14/81, 60-687 Poznań;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e-mail: rodo@omegaworkforce.pl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Administrator odpowiada na żądania bez zbędnej zwłoki, a w każdym razie w terminie miesiąca od jego otrzymania (art. 12 ust. 3 RODO). W przypadku skomplikowanych lub licznych żądań termin może zostać przedłużony o kolejne 2 miesiące.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Administrator może odmówić realizacji żądania jedynie w przypadkach przewidzianych przepisami RODO, informując o tym osobę wraz z podaniem przyczyny odmowy.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EAF7EC"/>
            <w:tcBorders>
              <w:bottom w:val="single" w:sz="6" w:space="0" w:color="1A5C2A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1A5C2A"/>
                <w:sz w:val="19"/>
              </w:rPr>
              <w:t>PRAWO DO SKARGI: Jeżeli uważasz, że przetwarzanie Twoich danych narusza przepisy RODO, masz prawo wnieść skargę do organu nadzorczego – Prezesa Urzędu Ochrony Danych Osobowych (UODO), ul. Stawki 2, 00-193 Warszawa, e-mail: kancelaria@uodo.gov.pl, tel.: 606 950 000.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9  PLIKI COOKIE I TECHNOLOGIE ŚLEDZĄCE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Serwis www.omegaworkforce.pl korzysta z plików cookie (ciasteczek) – małych plików tekstowych zapisywanych na urządzeniu końcowym Użytkownika.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Administrator stosuje następujące rodzaje plików cookie: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Niezbędne (techniczne) – konieczne do prawidłowego działania Serwisu; podstawa: uzasadniony interes Administratora; nie wymagają zgody.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Analityczne / statystyczne – umożliwiają analizę ruchu i zachowań Użytkowników (np. Google Analytics, Matomo); podstawa: zgoda Użytkownika.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Marketingowe / reklamowe – służą do wyświetlania spersonalizowanych reklam; podstawa: zgoda Użytkownika.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Zgoda na cookies jest udzielana poprzez odpowiednie ustawienia w banerze cookie wyświetlanym przy pierwszej wizycie w Serwisie.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Użytkownik może w każdej chwili cofnąć zgodę na cookies nieobowiązkowe, klikając „Zarządzaj zgodami" w stopce Serwisu lub zmieniając ustawienia przeglądarki internetowej.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5. </w:t>
      </w:r>
      <w:r>
        <w:rPr>
          <w:rFonts w:ascii="Calibri" w:hAnsi="Calibri"/>
          <w:color w:val="1A1A1A"/>
          <w:sz w:val="20"/>
        </w:rPr>
        <w:t>Wyłączenie cookies niezbędnych może uniemożliwić prawidłowe korzystanie z Serwisu.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6. </w:t>
      </w:r>
      <w:r>
        <w:rPr>
          <w:rFonts w:ascii="Calibri" w:hAnsi="Calibri"/>
          <w:color w:val="1A1A1A"/>
          <w:sz w:val="20"/>
        </w:rPr>
        <w:t>Szczegółowa lista stosowanych plików cookie i ich dostawców dostępna jest w panelu zarządzania zgodami w Serwisie.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10  BEZPIECZEŃSTWO DANYCH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Administrator stosuje odpowiednie środki techniczne i organizacyjne mające na celu ochronę danych osobowych przed nieuprawnionym dostępem, utratą, zniszczeniem lub ujawnieniem, w tym: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szyfrowanie danych przesyłanych za pośrednictwem Serwisu (protokół TLS/HTTPS);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kontrolę dostępu – dane dostępne wyłącznie dla upoważnionych pracowników i współpracowników;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regularne kopie zapasowe danych;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d) </w:t>
      </w:r>
      <w:r>
        <w:rPr>
          <w:rFonts w:ascii="Calibri" w:hAnsi="Calibri"/>
          <w:color w:val="1A1A1A"/>
          <w:sz w:val="20"/>
        </w:rPr>
        <w:t>procedury postępowania w przypadku naruszenia ochrony danych osobowych.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W przypadku stwierdzenia naruszenia ochrony danych osobowych mogącego powodować ryzyko naruszenia praw lub wolności osób fizycznych, Administrator powiadomi Prezesa UODO w ciągu 72 godzin oraz poinformuje osoby, których dane dotyczą, jeżeli naruszenie może powodować wysokie ryzyko.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11  ZAUTOMATYZOWANE PODEJMOWANIE DECYZJI I PROFILOWANIE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Administrator nie podejmuje decyzji opartych wyłącznie na zautomatyzowanym przetwarzaniu danych osobowych, w tym profilowaniu, które wywoływałoby wobec osoby skutki prawne lub w podobny sposób istotnie na nią wpływało (art. 22 RODO).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Dane kandydatów mogą być wstępnie filtrowane przez systemy ATS (Applicant Tracking System) – filtrowanie to nie stanowi jednak decyzji zautomatyzowanej w rozumieniu art. 22 RODO, ponieważ ostateczna decyzja o zaproszeniu na rozmowę lub skierowaniu do Klienta jest zawsze podejmowana przez człowieka.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12  DOBROWOLNOŚĆ PODANIA DANYCH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Podanie danych osobowych jest dobrowolne, jednak ich niepodanie może uniemożliwić: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a) </w:t>
      </w:r>
      <w:r>
        <w:rPr>
          <w:rFonts w:ascii="Calibri" w:hAnsi="Calibri"/>
          <w:color w:val="1A1A1A"/>
          <w:sz w:val="20"/>
        </w:rPr>
        <w:t>skorzystanie z usług rekrutacyjnych lub pośrednictwa pracy;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b) </w:t>
      </w:r>
      <w:r>
        <w:rPr>
          <w:rFonts w:ascii="Calibri" w:hAnsi="Calibri"/>
          <w:color w:val="1A1A1A"/>
          <w:sz w:val="20"/>
        </w:rPr>
        <w:t>zawarcie umowy o współpracy B2B (JDG);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c) </w:t>
      </w:r>
      <w:r>
        <w:rPr>
          <w:rFonts w:ascii="Calibri" w:hAnsi="Calibri"/>
          <w:color w:val="1A1A1A"/>
          <w:sz w:val="20"/>
        </w:rPr>
        <w:t>otrzymanie odpowiedzi na zapytanie przesłane formularzem kontaktowym;</w:t>
      </w:r>
    </w:p>
    <w:p>
      <w:pPr>
        <w:spacing w:before="0" w:after="40"/>
        <w:ind w:left="794" w:hanging="397"/>
      </w:pPr>
      <w:r>
        <w:rPr>
          <w:rFonts w:ascii="Calibri" w:hAnsi="Calibri"/>
          <w:b/>
          <w:color w:val="1A3A5C"/>
          <w:sz w:val="20"/>
        </w:rPr>
        <w:t xml:space="preserve">d) </w:t>
      </w:r>
      <w:r>
        <w:rPr>
          <w:rFonts w:ascii="Calibri" w:hAnsi="Calibri"/>
          <w:color w:val="1A1A1A"/>
          <w:sz w:val="20"/>
        </w:rPr>
        <w:t>zapisanie do newslettera.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W przypadku przetwarzania danych na podstawie obowiązku prawnego podanie danych jest obligatoryjne.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C8D8E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F223A"/>
                <w:sz w:val="21"/>
              </w:rPr>
              <w:t>§ 13  ZMIANY POLITYKI PRYWATNOŚCI</w:t>
            </w:r>
          </w:p>
        </w:tc>
      </w:tr>
    </w:tbl>
    <w:p/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1. </w:t>
      </w:r>
      <w:r>
        <w:rPr>
          <w:rFonts w:ascii="Calibri" w:hAnsi="Calibri"/>
          <w:color w:val="1A1A1A"/>
          <w:sz w:val="20"/>
        </w:rPr>
        <w:t>Administrator zastrzega sobie prawo do zmiany Polityki Prywatności z przyczyn technicznych, prawnych lub organizacyjnych.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2. </w:t>
      </w:r>
      <w:r>
        <w:rPr>
          <w:rFonts w:ascii="Calibri" w:hAnsi="Calibri"/>
          <w:color w:val="1A1A1A"/>
          <w:sz w:val="20"/>
        </w:rPr>
        <w:t>O istotnych zmianach Administrator informuje poprzez komunikat na stronie głównej Serwisu lub wiadomość e-mail do zarejestrowanych Użytkowników, z co najmniej 14-dniowym wyprzedzeniem.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3. </w:t>
      </w:r>
      <w:r>
        <w:rPr>
          <w:rFonts w:ascii="Calibri" w:hAnsi="Calibri"/>
          <w:color w:val="1A1A1A"/>
          <w:sz w:val="20"/>
        </w:rPr>
        <w:t>Aktualna wersja Polityki jest zawsze dostępna pod adresem: www.omegaworkforce.pl/polityka-prywatnosci</w:t>
      </w:r>
    </w:p>
    <w:p>
      <w:pPr>
        <w:spacing w:before="20" w:after="60"/>
        <w:ind w:left="397" w:hanging="397"/>
      </w:pPr>
      <w:r>
        <w:rPr>
          <w:rFonts w:ascii="Calibri" w:hAnsi="Calibri"/>
          <w:b/>
          <w:color w:val="1A3A5C"/>
          <w:sz w:val="20"/>
        </w:rPr>
        <w:t xml:space="preserve">4. </w:t>
      </w:r>
      <w:r>
        <w:rPr>
          <w:rFonts w:ascii="Calibri" w:hAnsi="Calibri"/>
          <w:color w:val="1A1A1A"/>
          <w:sz w:val="20"/>
        </w:rPr>
        <w:t>Data ostatniej modyfikacji niniejszej Polityki: 1 lipca 2025 r. · Wersja: 1.0.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22"/>
      </w:tblGrid>
      <w:tr>
        <w:tc>
          <w:tcPr>
            <w:tcW w:type="dxa" w:w="9122"/>
            <w:shd w:val="clear" w:color="auto" w:fill="EAF0F8"/>
            <w:tcBorders>
              <w:bottom w:val="single" w:sz="6" w:space="0" w:color="1A3A5C"/>
            </w:tcBorders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color w:val="1A3A5C"/>
                <w:sz w:val="19"/>
              </w:rPr>
              <w:t>© 2025 Omega Spółka z ograniczoną odpowiedzialnością · os. Stefana Batorego 14/81, 60-687 Poznań</w:t>
              <w:br/>
              <w:t>KRS: 0000853422 · NIP: 7812011724 · REGON: 386693099</w:t>
              <w:br/>
              <w:t>Kontakt RODO: rodo@omegaworkforce.pl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