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CASE OF TEST v. POLAND</w:t>
      </w:r>
    </w:p>
    <w:p>
      <w:r>
        <w:t xml:space="preserve"/>
      </w:r>
    </w:p>
    <w:p>
      <w:r>
        <w:t xml:space="preserve">1.</w:t>
      </w:r>
      <w:r>
        <w:t xml:space="preserve">
          <w:tab/>
        </w:t>
      </w:r>
      <w:r>
        <w:t xml:space="preserve">The  applicant   complained under Article 8 of the Convention.</w:t>
      </w:r>
    </w:p>
    <w:p>
      <w:r>
        <w:t xml:space="preserve">STRASBOURG</w:t>
      </w:r>
    </w:p>
    <w:p>
      <w:r>
        <w:t xml:space="preserve">11 April 2023</w:t>
      </w:r>
    </w:p>
  </w:body>
</w:document>
</file>