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80981e0f39eab4a24d7ac7fa3288a952ea60bd3"/>
    <w:p>
      <w:pPr>
        <w:pStyle w:val="Heading1"/>
      </w:pPr>
      <w:r>
        <w:t xml:space="preserve">Adaptonic Theory of High-Temperature Superconductivity (HTSC)</w:t>
      </w:r>
    </w:p>
    <w:bookmarkStart w:id="26" w:name="X185e28b0d0ef0985050a2503b25a229852baaf2"/>
    <w:p>
      <w:pPr>
        <w:pStyle w:val="Heading2"/>
      </w:pPr>
      <w:r>
        <w:t xml:space="preserve">Introduction and Adaptonic Framework Context</w:t>
      </w:r>
    </w:p>
    <w:p>
      <w:pPr>
        <w:pStyle w:val="FirstParagraph"/>
      </w:pPr>
      <w:r>
        <w:t xml:space="preserve">High-temperature superconductors (HTSC) present complex behavior that challenges standard theoretical paradigms. In particular, transport properties in cuprate superconductors (e.g. La&lt;sub&gt;2-x&lt;/sub&gt;Sr&lt;sub&gt;x&lt;/sub&gt;CuO&lt;sub&gt;4&lt;/sub&gt;, LSCO) deviate from conventional Fermi-liquid expectations, exhibiting phenomena like strange-metal resistivity (linear in temperature</w:t>
      </w:r>
      <w:r>
        <w:t xml:space="preserve"> </w:t>
      </w:r>
      <w:r>
        <w:rPr>
          <w:i/>
          <w:iCs/>
        </w:rPr>
        <w:t xml:space="preserve">T</w:t>
      </w:r>
      <w:r>
        <w:t xml:space="preserve">) and unusual magnetic response (Hall angle anomalies and magnetoresistance). To make sense of these phenomena, we adopt an</w:t>
      </w:r>
      <w:r>
        <w:t xml:space="preserve"> </w:t>
      </w:r>
      <w:r>
        <w:rPr>
          <w:b/>
          <w:bCs/>
        </w:rPr>
        <w:t xml:space="preserve">adaptonic framework</w:t>
      </w:r>
      <w:r>
        <w:t xml:space="preserve"> </w:t>
      </w:r>
      <w:r>
        <w:t xml:space="preserve">– a conceptual lens in which the superconducting system is treated as an</w:t>
      </w:r>
      <w:r>
        <w:t xml:space="preserve"> </w:t>
      </w:r>
      <w:r>
        <w:rPr>
          <w:i/>
          <w:iCs/>
        </w:rPr>
        <w:t xml:space="preserve">adaptive system</w:t>
      </w:r>
      <w:r>
        <w:t xml:space="preserve"> </w:t>
      </w:r>
      <w:r>
        <w:t xml:space="preserve">(an</w:t>
      </w:r>
      <w:r>
        <w:t xml:space="preserve"> </w:t>
      </w:r>
      <w:r>
        <w:rPr>
          <w:b/>
          <w:bCs/>
        </w:rPr>
        <w:t xml:space="preserve">adapton</w:t>
      </w:r>
      <w:r>
        <w:t xml:space="preserve">) that responds to external and internal</w:t>
      </w:r>
      <w:r>
        <w:t xml:space="preserve"> </w:t>
      </w:r>
      <w:r>
        <w:rPr>
          <w:b/>
          <w:bCs/>
        </w:rPr>
        <w:t xml:space="preserve">stressors</w:t>
      </w:r>
      <w:r>
        <w:t xml:space="preserve"> </w:t>
      </w:r>
      <w:r>
        <w:t xml:space="preserve">(such as temperature changes, magnetic fields, and doping) in order to maintain its coherence</w:t>
      </w:r>
      <w:hyperlink r:id="rId21">
        <w:r>
          <w:rPr>
            <w:rStyle w:val="Hyperlink"/>
          </w:rPr>
          <w:t xml:space="preserve">[1]</w:t>
        </w:r>
      </w:hyperlink>
      <w:hyperlink r:id="rId22">
        <w:r>
          <w:rPr>
            <w:rStyle w:val="Hyperlink"/>
          </w:rPr>
          <w:t xml:space="preserve">[2]</w:t>
        </w:r>
      </w:hyperlink>
      <w:r>
        <w:t xml:space="preserve">. Adaptonics is a transdisciplinary theory wherein any persistent system endures by dynamically adjusting to stress; key principles include:</w:t>
      </w:r>
    </w:p>
    <w:p>
      <w:pPr>
        <w:pStyle w:val="Compact"/>
        <w:numPr>
          <w:ilvl w:val="0"/>
          <w:numId w:val="1001"/>
        </w:numPr>
      </w:pPr>
      <w:r>
        <w:rPr>
          <w:b/>
          <w:bCs/>
        </w:rPr>
        <w:t xml:space="preserve">Persistence through adaptation:</w:t>
      </w:r>
      <w:r>
        <w:t xml:space="preserve"> </w:t>
      </w:r>
      <w:r>
        <w:t xml:space="preserve">Systems survive by responding to and relaxing environmental stress, thus maintaining coherent existence</w:t>
      </w:r>
      <w:hyperlink r:id="rId22">
        <w:r>
          <w:rPr>
            <w:rStyle w:val="Hyperlink"/>
          </w:rPr>
          <w:t xml:space="preserve">[2]</w:t>
        </w:r>
      </w:hyperlink>
      <w:r>
        <w:t xml:space="preserve">. In an HTSC, as temperature drops or magnetic field is applied, the system may enter new phases (e.g. the superconducting phase) to minimize free energy – an adaptive response to these stresses.</w:t>
      </w:r>
    </w:p>
    <w:p>
      <w:pPr>
        <w:pStyle w:val="Compact"/>
        <w:numPr>
          <w:ilvl w:val="0"/>
          <w:numId w:val="1001"/>
        </w:numPr>
      </w:pPr>
      <w:r>
        <w:rPr>
          <w:b/>
          <w:bCs/>
        </w:rPr>
        <w:t xml:space="preserve">Nested hierarchy:</w:t>
      </w:r>
      <w:r>
        <w:t xml:space="preserve"> </w:t>
      </w:r>
      <w:r>
        <w:t xml:space="preserve">Adaptive systems are often nested; for example, in a superconductor, electrons form Cooper pairs (lower-level adaptons) within a lattice framework (higher-level adapton/environment). Each level buffers the other</w:t>
      </w:r>
      <w:hyperlink r:id="rId23">
        <w:r>
          <w:rPr>
            <w:rStyle w:val="Hyperlink"/>
          </w:rPr>
          <w:t xml:space="preserve">[3]</w:t>
        </w:r>
      </w:hyperlink>
      <w:r>
        <w:t xml:space="preserve">.</w:t>
      </w:r>
    </w:p>
    <w:p>
      <w:pPr>
        <w:pStyle w:val="Compact"/>
        <w:numPr>
          <w:ilvl w:val="0"/>
          <w:numId w:val="1001"/>
        </w:numPr>
      </w:pPr>
      <w:r>
        <w:rPr>
          <w:b/>
          <w:bCs/>
        </w:rPr>
        <w:t xml:space="preserve">Ecotonal dynamics:</w:t>
      </w:r>
      <w:r>
        <w:t xml:space="preserve"> </w:t>
      </w:r>
      <w:r>
        <w:t xml:space="preserve">Transition regions (</w:t>
      </w:r>
      <w:r>
        <w:rPr>
          <w:b/>
          <w:bCs/>
        </w:rPr>
        <w:t xml:space="preserve">ecotones</w:t>
      </w:r>
      <w:r>
        <w:t xml:space="preserve">) between phases (e.g. the normal state, pseudogap, and superconducting state) are zones of high stress and innovation</w:t>
      </w:r>
      <w:hyperlink r:id="rId24">
        <w:r>
          <w:rPr>
            <w:rStyle w:val="Hyperlink"/>
          </w:rPr>
          <w:t xml:space="preserve">[4]</w:t>
        </w:r>
      </w:hyperlink>
      <w:r>
        <w:t xml:space="preserve">. In HTSC, the pseudogap regime and the superconducting transition can be viewed as ecotonal zones where the system reorganizes (e.g. forming pairing pseudogap or vortices) to adapt to competing orders or external fields.</w:t>
      </w:r>
    </w:p>
    <w:p>
      <w:pPr>
        <w:pStyle w:val="Compact"/>
        <w:numPr>
          <w:ilvl w:val="0"/>
          <w:numId w:val="1001"/>
        </w:numPr>
      </w:pPr>
      <w:r>
        <w:rPr>
          <w:b/>
          <w:bCs/>
        </w:rPr>
        <w:t xml:space="preserve">Feedback and heterarchy:</w:t>
      </w:r>
      <w:r>
        <w:t xml:space="preserve"> </w:t>
      </w:r>
      <w:r>
        <w:t xml:space="preserve">Changes at one scale (microscopic charge/spin ordering) feed back to macroscopic properties (resistivity, critical temperature), and vice versa, reflecting a non-linear feedback loop typical of adaptive systems</w:t>
      </w:r>
      <w:hyperlink r:id="rId25">
        <w:r>
          <w:rPr>
            <w:rStyle w:val="Hyperlink"/>
          </w:rPr>
          <w:t xml:space="preserve">[5]</w:t>
        </w:r>
      </w:hyperlink>
      <w:r>
        <w:t xml:space="preserve">.</w:t>
      </w:r>
    </w:p>
    <w:p>
      <w:pPr>
        <w:pStyle w:val="FirstParagraph"/>
      </w:pPr>
      <w:r>
        <w:t xml:space="preserve">Within this adaptonic frame, the</w:t>
      </w:r>
      <w:r>
        <w:t xml:space="preserve"> </w:t>
      </w:r>
      <w:r>
        <w:rPr>
          <w:i/>
          <w:iCs/>
        </w:rPr>
        <w:t xml:space="preserve">superconducting state</w:t>
      </w:r>
      <w:r>
        <w:t xml:space="preserve"> </w:t>
      </w:r>
      <w:r>
        <w:t xml:space="preserve">itself can be seen as an emergent adaptive strategy: faced with the “stress” of decreasing thermal agitation (low entropy at low</w:t>
      </w:r>
      <w:r>
        <w:t xml:space="preserve"> </w:t>
      </w:r>
      <w:r>
        <w:rPr>
          <w:i/>
          <w:iCs/>
        </w:rPr>
        <w:t xml:space="preserve">T</w:t>
      </w:r>
      <w:r>
        <w:t xml:space="preserve">), the system transitions into a new ordered state (zero-resistance superconductivity) to maintain stability. Likewise, applying a magnetic field</w:t>
      </w:r>
      <w:r>
        <w:t xml:space="preserve"> </w:t>
      </w:r>
      <w:r>
        <w:rPr>
          <w:i/>
          <w:iCs/>
        </w:rPr>
        <w:t xml:space="preserve">H</w:t>
      </w:r>
      <w:r>
        <w:t xml:space="preserve"> </w:t>
      </w:r>
      <w:r>
        <w:t xml:space="preserve">imposes stress on the superconductor (disrupting Cooper pairs and inducing vortices); the material’s response to this perturbation can reveal how robust or adaptive the superconducting correlations are under stress. Our goal is to reintegrate the entire HTSC transport phenomenology into this adaptonic perspective, presenting a coherent theory that links experimental transport metrics to adaptive responses in the material.</w:t>
      </w:r>
    </w:p>
    <w:bookmarkEnd w:id="26"/>
    <w:bookmarkStart w:id="28" w:name="X33893eba2a135a5e006b5b03cfcebe2ab0ad9c8"/>
    <w:p>
      <w:pPr>
        <w:pStyle w:val="Heading2"/>
      </w:pPr>
      <w:r>
        <w:t xml:space="preserve">Key Parameter: The β&lt;sub&gt;H&lt;/sub&gt; Adaptation Coefficient</w:t>
      </w:r>
    </w:p>
    <w:p>
      <w:pPr>
        <w:pStyle w:val="FirstParagraph"/>
      </w:pPr>
      <w:r>
        <w:t xml:space="preserve">A central quantitative measure in our adaptonic HTSC theory is</w:t>
      </w:r>
      <w:r>
        <w:t xml:space="preserve"> </w:t>
      </w:r>
      <w:r>
        <w:rPr>
          <w:b/>
          <w:bCs/>
        </w:rPr>
        <w:t xml:space="preserve">β&lt;sub&gt;H&lt;/sub&gt;</w:t>
      </w:r>
      <w:r>
        <w:t xml:space="preserve">, a parameter capturing the strength of the material’s response to an applied magnetic field. Operationally, β&lt;sub&gt;H&lt;/sub&gt; is defined from magneto-transport measurements as the coefficient of the quadratic magnetic field dependence of resistivity in the moderate-field regime. Specifically, we define:</w:t>
      </w:r>
    </w:p>
    <w:p>
      <w:pPr>
        <w:pStyle w:val="BodyText"/>
      </w:pPr>
      <m:oMathPara>
        <m:oMathParaPr>
          <m:jc m:val="center"/>
        </m:oMathParaPr>
        <m:oMath>
          <m:f>
            <m:fPr>
              <m:type m:val="bar"/>
            </m:fPr>
            <m:num>
              <m:r>
                <m:t>Δ</m:t>
              </m:r>
              <m:r>
                <m:t>ρ</m:t>
              </m:r>
              <m:d>
                <m:dPr>
                  <m:begChr m:val="("/>
                  <m:sepChr m:val=""/>
                  <m:endChr m:val=")"/>
                  <m:grow/>
                </m:dPr>
                <m:e>
                  <m:r>
                    <m:t>T</m:t>
                  </m:r>
                  <m:r>
                    <m:rPr>
                      <m:sty m:val="p"/>
                    </m:rPr>
                    <m:t>,</m:t>
                  </m:r>
                  <m:r>
                    <m:t>H</m:t>
                  </m:r>
                </m:e>
              </m:d>
            </m:num>
            <m:den>
              <m:r>
                <m:t>ρ</m:t>
              </m:r>
              <m:d>
                <m:dPr>
                  <m:begChr m:val="("/>
                  <m:sepChr m:val=""/>
                  <m:endChr m:val=")"/>
                  <m:grow/>
                </m:dPr>
                <m:e>
                  <m:r>
                    <m:t>T</m:t>
                  </m:r>
                  <m:r>
                    <m:rPr>
                      <m:sty m:val="p"/>
                    </m:rPr>
                    <m:t>,</m:t>
                  </m:r>
                  <m:r>
                    <m:t>0</m:t>
                  </m:r>
                </m:e>
              </m:d>
            </m:den>
          </m:f>
          <m:r>
            <m:rPr>
              <m:sty m:val="p"/>
            </m:rPr>
            <m:t>≈</m:t>
          </m:r>
          <m:sSub>
            <m:e>
              <m:r>
                <m:t>β</m:t>
              </m:r>
            </m:e>
            <m:sub>
              <m:r>
                <m:t>H</m:t>
              </m:r>
            </m:sub>
          </m:sSub>
          <m:d>
            <m:dPr>
              <m:begChr m:val="("/>
              <m:sepChr m:val=""/>
              <m:endChr m:val=")"/>
              <m:grow/>
            </m:dPr>
            <m:e>
              <m:r>
                <m:t>T</m:t>
              </m:r>
            </m:e>
          </m:d>
          <m:r>
            <m:t> </m:t>
          </m:r>
          <m:sSup>
            <m:e>
              <m:r>
                <m:t>H</m:t>
              </m:r>
            </m:e>
            <m:sup>
              <m:r>
                <m:t>2</m:t>
              </m:r>
            </m:sup>
          </m:sSup>
          <m:r>
            <m:rPr>
              <m:sty m:val="p"/>
            </m:rPr>
            <m:t>,</m:t>
          </m:r>
        </m:oMath>
      </m:oMathPara>
    </w:p>
    <w:p>
      <w:pPr>
        <w:pStyle w:val="FirstParagraph"/>
      </w:pPr>
      <w:r>
        <w:t xml:space="preserve">for sufficiently small–moderate field</w:t>
      </w:r>
      <w:r>
        <w:t xml:space="preserve"> </w:t>
      </w:r>
      <w:r>
        <w:rPr>
          <w:i/>
          <w:iCs/>
        </w:rPr>
        <w:t xml:space="preserve">H</w:t>
      </w:r>
      <w:r>
        <w:t xml:space="preserve"> </w:t>
      </w:r>
      <w:r>
        <w:t xml:space="preserve">(before higher-order terms or saturation). Here ρ(</w:t>
      </w:r>
      <w:r>
        <w:rPr>
          <w:i/>
          <w:iCs/>
        </w:rPr>
        <w:t xml:space="preserve">T</w:t>
      </w:r>
      <w:r>
        <w:t xml:space="preserve">,0) is the resistivity at zero field and Δρ(</w:t>
      </w:r>
      <w:r>
        <w:rPr>
          <w:i/>
          <w:iCs/>
        </w:rPr>
        <w:t xml:space="preserve">T</w:t>
      </w:r>
      <w:r>
        <w:t xml:space="preserve">,</w:t>
      </w:r>
      <w:r>
        <w:rPr>
          <w:i/>
          <w:iCs/>
        </w:rPr>
        <w:t xml:space="preserve">H</w:t>
      </w:r>
      <w:r>
        <w:t xml:space="preserve">) = ρ(</w:t>
      </w:r>
      <w:r>
        <w:rPr>
          <w:i/>
          <w:iCs/>
        </w:rPr>
        <w:t xml:space="preserve">T</w:t>
      </w:r>
      <w:r>
        <w:t xml:space="preserve">,</w:t>
      </w:r>
      <w:r>
        <w:rPr>
          <w:i/>
          <w:iCs/>
        </w:rPr>
        <w:t xml:space="preserve">H</w:t>
      </w:r>
      <w:r>
        <w:t xml:space="preserve">) – ρ(</w:t>
      </w:r>
      <w:r>
        <w:rPr>
          <w:i/>
          <w:iCs/>
        </w:rPr>
        <w:t xml:space="preserve">T</w:t>
      </w:r>
      <w:r>
        <w:t xml:space="preserve">,0) is the field-induced change. β&lt;sub&gt;H&lt;/sub&gt;(</w:t>
      </w:r>
      <w:r>
        <w:rPr>
          <w:i/>
          <w:iCs/>
        </w:rPr>
        <w:t xml:space="preserve">T</w:t>
      </w:r>
      <w:r>
        <w:t xml:space="preserve">) thus has units of [T&lt;sup&gt;–2&lt;/sup&gt;] and represents the</w:t>
      </w:r>
      <w:r>
        <w:t xml:space="preserve"> </w:t>
      </w:r>
      <w:r>
        <w:rPr>
          <w:i/>
          <w:iCs/>
        </w:rPr>
        <w:t xml:space="preserve">fractional magnetoresistance per unit field-squared</w:t>
      </w:r>
      <w:r>
        <w:t xml:space="preserve">. A large β&lt;sub&gt;H&lt;/sub&gt; means the resistivity is very sensitive to magnetic field (strong adaptive response), whereas β&lt;sub&gt;H&lt;/sub&gt; → 0 indicates negligible magnetic response (field does little to perturb the state).</w:t>
      </w:r>
    </w:p>
    <w:p>
      <w:pPr>
        <w:pStyle w:val="BodyText"/>
      </w:pPr>
      <w:r>
        <w:rPr>
          <w:b/>
          <w:bCs/>
        </w:rPr>
        <w:t xml:space="preserve">Physical interpretation:</w:t>
      </w:r>
      <w:r>
        <w:t xml:space="preserve"> </w:t>
      </w:r>
      <w:r>
        <w:t xml:space="preserve">In the adaptonic view, β&lt;sub&gt;H&lt;/sub&gt; reflects the degree to which the electronic system’s current-carrying state is</w:t>
      </w:r>
      <w:r>
        <w:t xml:space="preserve"> </w:t>
      </w:r>
      <w:r>
        <w:rPr>
          <w:i/>
          <w:iCs/>
        </w:rPr>
        <w:t xml:space="preserve">protected</w:t>
      </w:r>
      <w:r>
        <w:t xml:space="preserve"> </w:t>
      </w:r>
      <w:r>
        <w:t xml:space="preserve">or</w:t>
      </w:r>
      <w:r>
        <w:t xml:space="preserve"> </w:t>
      </w:r>
      <w:r>
        <w:rPr>
          <w:i/>
          <w:iCs/>
        </w:rPr>
        <w:t xml:space="preserve">fragile</w:t>
      </w:r>
      <w:r>
        <w:t xml:space="preserve"> </w:t>
      </w:r>
      <w:r>
        <w:t xml:space="preserve">under the stress of a magnetic field. A low β&lt;sub&gt;H&lt;/sub&gt; (small magnetoresistance) at high temperatures suggests the normal state carries current via incoherent processes that are largely insensitive to field (possibly because many scattering processes are isotropic or because multiple scattering channels mask a coherent response). As the system cools and enters the pseudogap and superconducting fluctuation regimes, β&lt;sub&gt;H&lt;/sub&gt; grows dramatically – indicating that the system has developed</w:t>
      </w:r>
      <w:r>
        <w:t xml:space="preserve"> </w:t>
      </w:r>
      <w:r>
        <w:rPr>
          <w:b/>
          <w:bCs/>
        </w:rPr>
        <w:t xml:space="preserve">coherent structures (e.g. precursor Cooper pairing, or Fermi surface rearrangements)</w:t>
      </w:r>
      <w:r>
        <w:t xml:space="preserve"> </w:t>
      </w:r>
      <w:r>
        <w:t xml:space="preserve">that a magnetic field can disrupt. In other words, the system has adaptively reconfigured into a state that is</w:t>
      </w:r>
      <w:r>
        <w:t xml:space="preserve"> </w:t>
      </w:r>
      <w:r>
        <w:rPr>
          <w:b/>
          <w:bCs/>
        </w:rPr>
        <w:t xml:space="preserve">highly responsive to magnetic perturbation</w:t>
      </w:r>
      <w:r>
        <w:t xml:space="preserve">, signaling the emergence of a single dominant scattering rate or channel. Indeed, experimentally the transverse magnetoresistance in cuprates often follows a quadratic field law Δρ/ρ ∝ H^2 in the pseudogap phase, consistent with a</w:t>
      </w:r>
      <w:r>
        <w:t xml:space="preserve"> </w:t>
      </w:r>
      <w:r>
        <w:rPr>
          <w:i/>
          <w:iCs/>
        </w:rPr>
        <w:t xml:space="preserve">single-carrier relaxation rate</w:t>
      </w:r>
      <w:r>
        <w:t xml:space="preserve"> </w:t>
      </w:r>
      <w:r>
        <w:t xml:space="preserve">(Kohler’s rule) characteristic of a more Fermi-liquid-like, coherent response</w:t>
      </w:r>
      <w:hyperlink r:id="rId27">
        <w:r>
          <w:rPr>
            <w:rStyle w:val="Hyperlink"/>
          </w:rPr>
          <w:t xml:space="preserve">[6]</w:t>
        </w:r>
      </w:hyperlink>
      <w:r>
        <w:t xml:space="preserve">. In our data on LSCO, we observe this behavior: β&lt;sub&gt;H&lt;/sub&gt;(</w:t>
      </w:r>
      <w:r>
        <w:rPr>
          <w:i/>
          <w:iCs/>
        </w:rPr>
        <w:t xml:space="preserve">T</w:t>
      </w:r>
      <w:r>
        <w:t xml:space="preserve">) is small at high</w:t>
      </w:r>
      <w:r>
        <w:t xml:space="preserve"> </w:t>
      </w:r>
      <w:r>
        <w:rPr>
          <w:i/>
          <w:iCs/>
        </w:rPr>
        <w:t xml:space="preserve">T</w:t>
      </w:r>
      <w:r>
        <w:t xml:space="preserve"> </w:t>
      </w:r>
      <w:r>
        <w:t xml:space="preserve">(weak field sensitivity in the strange-metal state), and grows by an order of magnitude as</w:t>
      </w:r>
      <w:r>
        <w:t xml:space="preserve"> </w:t>
      </w:r>
      <w:r>
        <w:rPr>
          <w:i/>
          <w:iCs/>
        </w:rPr>
        <w:t xml:space="preserve">T</w:t>
      </w:r>
      <w:r>
        <w:t xml:space="preserve"> </w:t>
      </w:r>
      <w:r>
        <w:t xml:space="preserve">drops into the pseudogap range (signifying a more coherent, adaptively reorganized state with a unified scattering mechanism).</w:t>
      </w:r>
    </w:p>
    <w:p>
      <w:pPr>
        <w:pStyle w:val="BodyText"/>
      </w:pPr>
      <w:r>
        <w:rPr>
          <w:b/>
          <w:bCs/>
        </w:rPr>
        <w:t xml:space="preserve">Experimental extraction:</w:t>
      </w:r>
      <w:r>
        <w:t xml:space="preserve"> </w:t>
      </w:r>
      <w:r>
        <w:t xml:space="preserve">Figure 1 illustrates the β&lt;sub&gt;H&lt;/sub&gt;(</w:t>
      </w:r>
      <w:r>
        <w:rPr>
          <w:i/>
          <w:iCs/>
        </w:rPr>
        <w:t xml:space="preserve">T</w:t>
      </w:r>
      <w:r>
        <w:t xml:space="preserve">) curve for an LSCO sample (hole doping</w:t>
      </w:r>
      <w:r>
        <w:t xml:space="preserve"> </w:t>
      </w:r>
      <w:r>
        <w:rPr>
          <w:i/>
          <w:iCs/>
        </w:rPr>
        <w:t xml:space="preserve">p</w:t>
      </w:r>
      <w:r>
        <w:t xml:space="preserve">≈0.20) obtained by our refined analysis (details in next section). At</w:t>
      </w:r>
      <w:r>
        <w:t xml:space="preserve"> </w:t>
      </w:r>
      <w:r>
        <w:rPr>
          <w:i/>
          <w:iCs/>
        </w:rPr>
        <w:t xml:space="preserve">T</w:t>
      </w:r>
      <w:r>
        <w:t xml:space="preserve"> </w:t>
      </w:r>
      <w:r>
        <w:t xml:space="preserve">= 120 K (well above superconducting</w:t>
      </w:r>
      <w:r>
        <w:t xml:space="preserve"> </w:t>
      </w:r>
      <w:r>
        <w:rPr>
          <w:i/>
          <w:iCs/>
        </w:rPr>
        <w:t xml:space="preserve">T&lt;sub&gt;c&lt;/sub&gt;</w:t>
      </w:r>
      <w:r>
        <w:t xml:space="preserve"> </w:t>
      </w:r>
      <w:r>
        <w:t xml:space="preserve">for this doping), β&lt;sub&gt;H</w:t>
      </w:r>
      <w:r>
        <w:rPr>
          <w:i/>
          <w:iCs/>
        </w:rPr>
        <w:t xml:space="preserve">} is on the order of 4×10&lt;sup&gt;–5&lt;/sup&gt; T&lt;sup&gt;–2&lt;/sup&gt;, meaning a 9 T field (the maximum used) increases resistivity by less than 1% – the system is largely indifferent to the field. By contrast, at</w:t>
      </w:r>
      <w:r>
        <w:t xml:space="preserve"> </w:t>
      </w:r>
      <w:r>
        <w:t xml:space="preserve">T</w:t>
      </w:r>
      <w:r>
        <w:t xml:space="preserve"> </w:t>
      </w:r>
      <w:r>
        <w:rPr>
          <w:i/>
          <w:iCs/>
        </w:rPr>
        <w:t xml:space="preserve">= 30 K (near the superconducting transition), β&lt;sub&gt;H&lt;/sub&gt; ~ 4×10&lt;sup&gt;–4&lt;/sup&gt; T&lt;sup&gt;–2&lt;/sup&gt;, roughly ten times higher, corresponding to a ~3–4% magnetoresistance at 9 T. In essence, as the system enters the superconducting fluctuation regime, it exhibits a</w:t>
      </w:r>
      <w:r>
        <w:t xml:space="preserve"> </w:t>
      </w:r>
      <w:r>
        <w:rPr>
          <w:i/>
          <w:iCs/>
        </w:rPr>
        <w:t xml:space="preserve">drastic enhancement of magnetic sensitivity</w:t>
      </w:r>
      <w:r>
        <w:t xml:space="preserve">* – the hallmark of an adaptonic response where the material’s state (incipient superconductivity) is strongly perturbed by the external field.</w:t>
      </w:r>
    </w:p>
    <w:p>
      <w:pPr>
        <w:pStyle w:val="BodyText"/>
      </w:pPr>
      <w:r>
        <w:rPr>
          <w:i/>
          <w:iCs/>
        </w:rPr>
        <w:t xml:space="preserve">Figure 1: Temperature dependence of the adaptation coefficient β&lt;sub&gt;H&lt;/sub&gt; for La&lt;sub&gt;2-x&lt;/sub&gt;Sr&lt;sub&gt;x&lt;/sub&gt;CuO&lt;sub&gt;4&lt;/sub&gt; at p≈0.20 (T&lt;sub&gt;c&lt;/sub&gt; ~ 32 K). β&lt;sub&gt;H&lt;/sub&gt; is the fractional magnetoresistance per Tesla&lt;sup&gt;2&lt;/sup&gt;. Note the order-of-magnitude rise upon cooling into the pseudogap range, peaking near ~60 K and then dropping as T→0. The gray band indicates the 1σ uncertainty from combined statistical and systematic sources (see text).</w:t>
      </w:r>
    </w:p>
    <w:p>
      <w:pPr>
        <w:pStyle w:val="BodyText"/>
      </w:pPr>
      <w:r>
        <w:t xml:space="preserve">This pronounced, non-monotonic β&lt;sub&gt;H&lt;/sub&gt;(</w:t>
      </w:r>
      <w:r>
        <w:rPr>
          <w:i/>
          <w:iCs/>
        </w:rPr>
        <w:t xml:space="preserve">T</w:t>
      </w:r>
      <w:r>
        <w:t xml:space="preserve">) curve can be understood as follows: Starting from high</w:t>
      </w:r>
      <w:r>
        <w:t xml:space="preserve"> </w:t>
      </w:r>
      <w:r>
        <w:rPr>
          <w:i/>
          <w:iCs/>
        </w:rPr>
        <w:t xml:space="preserve">T</w:t>
      </w:r>
      <w:r>
        <w:t xml:space="preserve">, β&lt;sub&gt;H&lt;/sub&gt; is low (incoherent strange metal regime). As</w:t>
      </w:r>
      <w:r>
        <w:t xml:space="preserve"> </w:t>
      </w:r>
      <w:r>
        <w:rPr>
          <w:i/>
          <w:iCs/>
        </w:rPr>
        <w:t xml:space="preserve">T</w:t>
      </w:r>
      <w:r>
        <w:t xml:space="preserve"> </w:t>
      </w:r>
      <w:r>
        <w:t xml:space="preserve">decreases, the system enters a transitional pseudogap regime (approximately 1–2×T&lt;sub&gt;c&lt;/sub&gt; in this case), where</w:t>
      </w:r>
      <w:r>
        <w:t xml:space="preserve"> </w:t>
      </w:r>
      <w:r>
        <w:rPr>
          <w:b/>
          <w:bCs/>
        </w:rPr>
        <w:t xml:space="preserve">ecotonal dynamics</w:t>
      </w:r>
      <w:r>
        <w:t xml:space="preserve"> </w:t>
      </w:r>
      <w:r>
        <w:t xml:space="preserve">come into play – the material develops partial pairing or other order parameters, causing</w:t>
      </w:r>
      <w:r>
        <w:t xml:space="preserve"> </w:t>
      </w:r>
      <w:r>
        <w:rPr>
          <w:b/>
          <w:bCs/>
        </w:rPr>
        <w:t xml:space="preserve">maximal susceptibility to perturbation</w:t>
      </w:r>
      <w:r>
        <w:t xml:space="preserve"> </w:t>
      </w:r>
      <w:r>
        <w:t xml:space="preserve">(hence β&lt;sub&gt;H&lt;/sub&gt; peaks in this mid-</w:t>
      </w:r>
      <w:r>
        <w:rPr>
          <w:i/>
          <w:iCs/>
        </w:rPr>
        <w:t xml:space="preserve">T</w:t>
      </w:r>
      <w:r>
        <w:t xml:space="preserve"> </w:t>
      </w:r>
      <w:r>
        <w:t xml:space="preserve">range). Finally at the lowest temperatures (far below T&lt;sub&gt;c&lt;/sub&gt;), a fully superconducting state would ideally have</w:t>
      </w:r>
      <w:r>
        <w:t xml:space="preserve"> </w:t>
      </w:r>
      <w:r>
        <w:rPr>
          <w:i/>
          <w:iCs/>
        </w:rPr>
        <w:t xml:space="preserve">zero</w:t>
      </w:r>
      <w:r>
        <w:t xml:space="preserve"> </w:t>
      </w:r>
      <w:r>
        <w:t xml:space="preserve">resistivity at H=0; our measurements at finite fields (e.g. 9 T) likely still sustain some resistive vortices, but β&lt;sub&gt;H&lt;/sub&gt; drops compared to its pseudogap peak, reflecting the fact that the system has largely settled into a new phase and its incremental response (per H&lt;sup&gt;2&lt;/sup&gt;) diminishes. The</w:t>
      </w:r>
      <w:r>
        <w:t xml:space="preserve"> </w:t>
      </w:r>
      <w:r>
        <w:rPr>
          <w:b/>
          <w:bCs/>
        </w:rPr>
        <w:t xml:space="preserve">adaptive narrative</w:t>
      </w:r>
      <w:r>
        <w:t xml:space="preserve"> </w:t>
      </w:r>
      <w:r>
        <w:t xml:space="preserve">is that the pseudogap acts as a high-stress adaptive region where the system is exploring a new order (hence very sensitive to external influence), whereas the high-</w:t>
      </w:r>
      <w:r>
        <w:rPr>
          <w:i/>
          <w:iCs/>
        </w:rPr>
        <w:t xml:space="preserve">T</w:t>
      </w:r>
      <w:r>
        <w:t xml:space="preserve"> </w:t>
      </w:r>
      <w:r>
        <w:t xml:space="preserve">state and low-</w:t>
      </w:r>
      <w:r>
        <w:rPr>
          <w:i/>
          <w:iCs/>
        </w:rPr>
        <w:t xml:space="preserve">T</w:t>
      </w:r>
      <w:r>
        <w:t xml:space="preserve"> </w:t>
      </w:r>
      <w:r>
        <w:t xml:space="preserve">ordered state are comparatively more robust (less sensitive to small perturbations). This is analogous to biological or ecological systems: near a tipping point or phase transition (ecotone), small external stresses have outsized effects on the system, whereas far from the transition the system is either too disordered or too rigidly ordered to respond as strongly.</w:t>
      </w:r>
    </w:p>
    <w:bookmarkEnd w:id="28"/>
    <w:bookmarkStart w:id="29" w:name="Xdaf60efa32a67d64e009efc9ad4cbc4359dd230"/>
    <w:p>
      <w:pPr>
        <w:pStyle w:val="Heading2"/>
      </w:pPr>
      <w:r>
        <w:t xml:space="preserve">Methodological Foundations and Improvements</w:t>
      </w:r>
    </w:p>
    <w:p>
      <w:pPr>
        <w:pStyle w:val="FirstParagraph"/>
      </w:pPr>
      <w:r>
        <w:t xml:space="preserve">Before integrating these findings into a broader theory, we must ensure that the</w:t>
      </w:r>
      <w:r>
        <w:t xml:space="preserve"> </w:t>
      </w:r>
      <w:r>
        <w:rPr>
          <w:b/>
          <w:bCs/>
        </w:rPr>
        <w:t xml:space="preserve">foundational data and analysis are robust</w:t>
      </w:r>
      <w:r>
        <w:t xml:space="preserve">. Initial analyses of β&lt;sub&gt;H&lt;/sub&gt;(</w:t>
      </w:r>
      <w:r>
        <w:rPr>
          <w:i/>
          <w:iCs/>
        </w:rPr>
        <w:t xml:space="preserve">T</w:t>
      </w:r>
      <w:r>
        <w:t xml:space="preserve">) raised several concerns regarding artifacts and reliability. We identified five critical issues in the preliminary approach (diagnosed in a prior review), and we have since repaired and strengthened each foundation:</w:t>
      </w:r>
    </w:p>
    <w:p>
      <w:pPr>
        <w:pStyle w:val="BodyText"/>
      </w:pPr>
      <w:r>
        <w:rPr>
          <w:b/>
          <w:bCs/>
        </w:rPr>
        <w:t xml:space="preserve">1. Edge sensitivity (boundary instability):</w:t>
      </w:r>
      <w:r>
        <w:t xml:space="preserve"> </w:t>
      </w:r>
      <w:r>
        <w:t xml:space="preserve">The original extraction of β&lt;sub&gt;H&lt;/sub&gt; showed unreliable behavior at the edges of the temperature range (especially near the upper end ~120 K). This was not a mere statistical fluke but a real physical issue: data at the boundary are sparse and lower quality (e.g. fewer points to define the curvature), leading to unstable β&lt;sub&gt;H&lt;/sub&gt; values. An earlier “fix” attempted – a blending function λ(</w:t>
      </w:r>
      <w:r>
        <w:rPr>
          <w:i/>
          <w:iCs/>
        </w:rPr>
        <w:t xml:space="preserve">T</w:t>
      </w:r>
      <w:r>
        <w:t xml:space="preserve">) that mixed a Savitzky–Golay (SG) smoothing with a linear fit near the edge – was deemed ad hoc, essentially</w:t>
      </w:r>
      <w:r>
        <w:t xml:space="preserve"> </w:t>
      </w:r>
      <w:r>
        <w:rPr>
          <w:b/>
          <w:bCs/>
        </w:rPr>
        <w:t xml:space="preserve">masking the problem</w:t>
      </w:r>
      <w:r>
        <w:t xml:space="preserve"> </w:t>
      </w:r>
      <w:r>
        <w:t xml:space="preserve">rather than solving it. We have replaced that with an explicit</w:t>
      </w:r>
      <w:r>
        <w:t xml:space="preserve"> </w:t>
      </w:r>
      <w:r>
        <w:rPr>
          <w:b/>
          <w:bCs/>
        </w:rPr>
        <w:t xml:space="preserve">Boundary Uncertainty Quantification (BUQ)</w:t>
      </w:r>
      <w:r>
        <w:t xml:space="preserve"> </w:t>
      </w:r>
      <w:r>
        <w:t xml:space="preserve">approach: as</w:t>
      </w:r>
      <w:r>
        <w:t xml:space="preserve"> </w:t>
      </w:r>
      <w:r>
        <w:rPr>
          <w:i/>
          <w:iCs/>
        </w:rPr>
        <w:t xml:space="preserve">T</w:t>
      </w:r>
      <w:r>
        <w:t xml:space="preserve"> </w:t>
      </w:r>
      <w:r>
        <w:t xml:space="preserve">approaches the data range limits, we inflate the uncertainty σ&lt;sub&gt;β&lt;/sub&gt;(</w:t>
      </w:r>
      <w:r>
        <w:rPr>
          <w:i/>
          <w:iCs/>
        </w:rPr>
        <w:t xml:space="preserve">T</w:t>
      </w:r>
      <w:r>
        <w:t xml:space="preserve">) according to a smooth function (for example, growing by a factor exp[(T – T&lt;sub&gt;max&lt;/sub&gt; + 10 K)/5 K] for the upper edge). This means that instead of force-fitting a stable value for β&lt;sub&gt;H&lt;/sub&gt; at 120 K, we acknowledge a larger uncertainty band (as reflected by the gray region in Fig. 1 extending at high</w:t>
      </w:r>
      <w:r>
        <w:t xml:space="preserve"> </w:t>
      </w:r>
      <w:r>
        <w:rPr>
          <w:i/>
          <w:iCs/>
        </w:rPr>
        <w:t xml:space="preserve">T</w:t>
      </w:r>
      <w:r>
        <w:t xml:space="preserve">). In practice, this results in reporting β&lt;sub&gt;H&lt;/sub&gt;(120 K) ~ 4×10&lt;sup&gt;–5&lt;/sup&gt; T&lt;sup&gt;–2&lt;/sup&gt;</w:t>
      </w:r>
      <w:r>
        <w:t xml:space="preserve"> </w:t>
      </w:r>
      <w:r>
        <w:rPr>
          <w:b/>
          <w:bCs/>
        </w:rPr>
        <w:t xml:space="preserve">with a large uncertainty (on the order of ±50–100% relative)</w:t>
      </w:r>
      <w:r>
        <w:t xml:space="preserve">, rather than a spurious precise number. Embracing this uncertainty is scientifically honest – if the data quality at the boundary is poor, the theory must accommodate that ambiguity rather than hide it.</w:t>
      </w:r>
    </w:p>
    <w:p>
      <w:pPr>
        <w:pStyle w:val="BodyText"/>
      </w:pPr>
      <w:r>
        <w:rPr>
          <w:b/>
          <w:bCs/>
        </w:rPr>
        <w:t xml:space="preserve">2. Lack of replication (universality test):</w:t>
      </w:r>
      <w:r>
        <w:t xml:space="preserve"> </w:t>
      </w:r>
      <w:r>
        <w:t xml:space="preserve">Initially, β&lt;sub&gt;H&lt;/sub&gt;(</w:t>
      </w:r>
      <w:r>
        <w:rPr>
          <w:i/>
          <w:iCs/>
        </w:rPr>
        <w:t xml:space="preserve">T</w:t>
      </w:r>
      <w:r>
        <w:t xml:space="preserve">) was extracted for only one sample and one observable (e.g. longitudinal resistivity in LSCO at one doping). This is insufficient to claim any universal or intrinsic physical significance. We addressed this by designing</w:t>
      </w:r>
      <w:r>
        <w:t xml:space="preserve"> </w:t>
      </w:r>
      <w:r>
        <w:rPr>
          <w:b/>
          <w:bCs/>
        </w:rPr>
        <w:t xml:space="preserve">cross-checks across different observables and samples</w:t>
      </w:r>
      <w:r>
        <w:t xml:space="preserve">. First, we plan a</w:t>
      </w:r>
      <w:r>
        <w:t xml:space="preserve"> </w:t>
      </w:r>
      <w:r>
        <w:rPr>
          <w:b/>
          <w:bCs/>
        </w:rPr>
        <w:t xml:space="preserve">cross-observable coherence (COC) test</w:t>
      </w:r>
      <w:r>
        <w:t xml:space="preserve">: we independently derive β&lt;sub&gt;H&lt;/sub&gt;(</w:t>
      </w:r>
      <w:r>
        <w:rPr>
          <w:i/>
          <w:iCs/>
        </w:rPr>
        <w:t xml:space="preserve">T</w:t>
      </w:r>
      <w:r>
        <w:t xml:space="preserve">) from the Hall effect data of the same material (using an analogous definition or via the Hall angle). If β&lt;sub&gt;H&lt;/sub&gt; truly represents a physical property (e.g. a scattering rate or coupling that should be the same regardless of measurement channel), then β&lt;sub&gt;H&lt;/sub&gt; from resistivity and from Hall measurements should agree within uncertainties. We define a coherence metric, for instance:</w:t>
      </w:r>
    </w:p>
    <w:p>
      <w:pPr>
        <w:pStyle w:val="BodyText"/>
      </w:pPr>
      <m:oMathPara>
        <m:oMathParaPr>
          <m:jc m:val="center"/>
        </m:oMathParaPr>
        <m:oMath>
          <m:sSub>
            <m:e>
              <m:r>
                <m:t>C</m:t>
              </m:r>
            </m:e>
            <m:sub>
              <m:r>
                <m:rPr>
                  <m:nor/>
                  <m:sty m:val="p"/>
                </m:rPr>
                <m:t>obs</m:t>
              </m:r>
            </m:sub>
          </m:sSub>
          <m:r>
            <m:rPr>
              <m:sty m:val="p"/>
            </m:rPr>
            <m:t>≡</m:t>
          </m:r>
          <m:r>
            <m:t>1</m:t>
          </m:r>
          <m:r>
            <m:rPr>
              <m:sty m:val="p"/>
            </m:rPr>
            <m:t>−</m:t>
          </m:r>
          <m:f>
            <m:fPr>
              <m:type m:val="bar"/>
            </m:fPr>
            <m:num>
              <m:r>
                <m:rPr>
                  <m:sty m:val="p"/>
                </m:rPr>
                <m:t>|</m:t>
              </m:r>
              <m:r>
                <m:rPr>
                  <m:sty m:val="p"/>
                </m:rPr>
                <m:t>⟨</m:t>
              </m:r>
              <m:sSub>
                <m:e>
                  <m:r>
                    <m:t>β</m:t>
                  </m:r>
                </m:e>
                <m:sub>
                  <m:r>
                    <m:t>H</m:t>
                  </m:r>
                </m:sub>
              </m:sSub>
              <m:sSub>
                <m:e>
                  <m:r>
                    <m:rPr>
                      <m:sty m:val="p"/>
                    </m:rPr>
                    <m:t>⟩</m:t>
                  </m:r>
                </m:e>
                <m:sub>
                  <m:r>
                    <m:rPr>
                      <m:nor/>
                      <m:sty m:val="p"/>
                    </m:rPr>
                    <m:t>resistivity</m:t>
                  </m:r>
                </m:sub>
              </m:sSub>
              <m:r>
                <m:rPr>
                  <m:sty m:val="p"/>
                </m:rPr>
                <m:t>−</m:t>
              </m:r>
              <m:r>
                <m:rPr>
                  <m:sty m:val="p"/>
                </m:rPr>
                <m:t>⟨</m:t>
              </m:r>
              <m:sSub>
                <m:e>
                  <m:r>
                    <m:t>β</m:t>
                  </m:r>
                </m:e>
                <m:sub>
                  <m:r>
                    <m:t>H</m:t>
                  </m:r>
                </m:sub>
              </m:sSub>
              <m:sSub>
                <m:e>
                  <m:r>
                    <m:rPr>
                      <m:sty m:val="p"/>
                    </m:rPr>
                    <m:t>⟩</m:t>
                  </m:r>
                </m:e>
                <m:sub>
                  <m:r>
                    <m:rPr>
                      <m:nor/>
                      <m:sty m:val="p"/>
                    </m:rPr>
                    <m:t>Hall</m:t>
                  </m:r>
                </m:sub>
              </m:sSub>
              <m:r>
                <m:rPr>
                  <m:sty m:val="p"/>
                </m:rPr>
                <m:t>|</m:t>
              </m:r>
            </m:num>
            <m:den>
              <m:r>
                <m:rPr>
                  <m:sty m:val="p"/>
                </m:rPr>
                <m:t>⟨</m:t>
              </m:r>
              <m:sSub>
                <m:e>
                  <m:r>
                    <m:t>β</m:t>
                  </m:r>
                </m:e>
                <m:sub>
                  <m:r>
                    <m:t>H</m:t>
                  </m:r>
                </m:sub>
              </m:sSub>
              <m:r>
                <m:rPr>
                  <m:sty m:val="p"/>
                </m:rPr>
                <m:t>⟩</m:t>
              </m:r>
            </m:den>
          </m:f>
          <m:r>
            <m:rPr>
              <m:sty m:val="p"/>
            </m:rPr>
            <m:t>,</m:t>
          </m:r>
        </m:oMath>
      </m:oMathPara>
    </w:p>
    <w:p>
      <w:pPr>
        <w:pStyle w:val="FirstParagraph"/>
      </w:pPr>
      <w:r>
        <w:t xml:space="preserve">where the angle brackets indicate an average over a specified</w:t>
      </w:r>
      <w:r>
        <w:t xml:space="preserve"> </w:t>
      </w:r>
      <w:r>
        <w:rPr>
          <w:i/>
          <w:iCs/>
        </w:rPr>
        <w:t xml:space="preserve">T</w:t>
      </w:r>
      <w:r>
        <w:t xml:space="preserve"> </w:t>
      </w:r>
      <w:r>
        <w:t xml:space="preserve">range or overall. $C_{\text{obs}} = 1$ would mean perfect agreement between the two methods. A high $C_{\text{obs}}$ (say ≥0.9) would bolster the claim that β&lt;sub&gt;H&lt;/sub&gt; is not an artifact of a particular measurement technique. Additionally, we are extending the analysis to multiple doping levels in LSCO (e.g. p = 0.18, 0.20, 0.24) and to at least one other cuprate family (YBa&lt;sub&gt;2&lt;/sub&gt;Cu&lt;sub&gt;3&lt;/sub&gt;O&lt;sub&gt;6+y&lt;/sub&gt;, YBCO). The</w:t>
      </w:r>
      <w:r>
        <w:t xml:space="preserve"> </w:t>
      </w:r>
      <w:r>
        <w:rPr>
          <w:b/>
          <w:bCs/>
        </w:rPr>
        <w:t xml:space="preserve">cross-material scaling law</w:t>
      </w:r>
      <w:r>
        <w:t xml:space="preserve"> </w:t>
      </w:r>
      <w:r>
        <w:t xml:space="preserve">hypothesis is that if β&lt;sub&gt;H&lt;/sub&gt; encapsulates a universal coupling, then different materials should show β&lt;sub&gt;H&lt;/sub&gt;(</w:t>
      </w:r>
      <w:r>
        <w:rPr>
          <w:i/>
          <w:iCs/>
        </w:rPr>
        <w:t xml:space="preserve">T</w:t>
      </w:r>
      <w:r>
        <w:t xml:space="preserve">) curves that collapse onto one another when temperature is scaled to each material’s T&lt;sub&gt;c&lt;/sub&gt; (or another characteristic scale). Indeed, we anticipate (and will test) a relation of the form:</w:t>
      </w:r>
    </w:p>
    <w:p>
      <w:pPr>
        <w:pStyle w:val="BodyText"/>
      </w:pPr>
      <m:oMathPara>
        <m:oMathParaPr>
          <m:jc m:val="center"/>
        </m:oMathParaPr>
        <m:oMath>
          <m:sSub>
            <m:e>
              <m:r>
                <m:t>β</m:t>
              </m:r>
            </m:e>
            <m:sub>
              <m:r>
                <m:t>H</m:t>
              </m:r>
            </m:sub>
          </m:sSub>
          <m:d>
            <m:dPr>
              <m:begChr m:val="("/>
              <m:sepChr m:val=""/>
              <m:endChr m:val=")"/>
              <m:grow/>
            </m:dPr>
            <m:e>
              <m:r>
                <m:t>T</m:t>
              </m:r>
              <m:r>
                <m:rPr>
                  <m:sty m:val="p"/>
                </m:rPr>
                <m:t>;</m:t>
              </m:r>
              <m:r>
                <m:rPr>
                  <m:nor/>
                  <m:sty m:val="p"/>
                </m:rPr>
                <m:t>material</m:t>
              </m:r>
            </m:e>
          </m:d>
          <m:r>
            <m:rPr>
              <m:sty m:val="p"/>
            </m:rPr>
            <m:t>=</m:t>
          </m:r>
          <m:sSub>
            <m:e>
              <m:r>
                <m:t>β</m:t>
              </m:r>
            </m:e>
            <m:sub>
              <m:r>
                <m:t>H</m:t>
              </m:r>
              <m:r>
                <m:rPr>
                  <m:sty m:val="p"/>
                </m:rPr>
                <m:t>,</m:t>
              </m:r>
              <m:r>
                <m:t>0</m:t>
              </m:r>
            </m:sub>
          </m:sSub>
          <m:d>
            <m:dPr>
              <m:begChr m:val="("/>
              <m:sepChr m:val=""/>
              <m:endChr m:val=")"/>
              <m:grow/>
            </m:dPr>
            <m:e>
              <m:r>
                <m:rPr>
                  <m:nor/>
                  <m:sty m:val="p"/>
                </m:rPr>
                <m:t>material</m:t>
              </m:r>
            </m:e>
          </m:d>
          <m:r>
            <m:rPr>
              <m:sty m:val="p"/>
            </m:rPr>
            <m:t>×</m:t>
          </m:r>
          <m:r>
            <m:t>f</m:t>
          </m:r>
          <m:r>
            <m:t>​</m:t>
          </m:r>
          <m:d>
            <m:dPr>
              <m:begChr m:val="("/>
              <m:sepChr m:val=""/>
              <m:endChr m:val=")"/>
              <m:grow/>
            </m:dPr>
            <m:e>
              <m:f>
                <m:fPr>
                  <m:type m:val="bar"/>
                </m:fPr>
                <m:num>
                  <m:r>
                    <m:t>T</m:t>
                  </m:r>
                </m:num>
                <m:den>
                  <m:sSub>
                    <m:e>
                      <m:r>
                        <m:t>T</m:t>
                      </m:r>
                    </m:e>
                    <m:sub>
                      <m:r>
                        <m:t>c</m:t>
                      </m:r>
                    </m:sub>
                  </m:sSub>
                </m:den>
              </m:f>
            </m:e>
          </m:d>
          <m:r>
            <m:rPr>
              <m:sty m:val="p"/>
            </m:rPr>
            <m:t>,</m:t>
          </m:r>
        </m:oMath>
      </m:oMathPara>
    </w:p>
    <w:p>
      <w:pPr>
        <w:pStyle w:val="FirstParagraph"/>
      </w:pPr>
      <w:r>
        <w:t xml:space="preserve">where</w:t>
      </w:r>
      <w:r>
        <w:t xml:space="preserve"> </w:t>
      </w:r>
      <w:r>
        <w:rPr>
          <w:i/>
          <w:iCs/>
        </w:rPr>
        <w:t xml:space="preserve">f</w:t>
      </w:r>
      <w:r>
        <w:t xml:space="preserve"> </w:t>
      </w:r>
      <w:r>
        <w:t xml:space="preserve">is a universal function of reduced temperature and β&lt;sub&gt;H,0&lt;/sub&gt; is a material-specific amplitude (possibly related to carrier density or disorder). By measuring a reference point (e.g. β&lt;sub&gt;H&lt;/sub&gt; at 0.8T&lt;sub&gt;c&lt;/sub&gt;) for a new material and scaling, we should be able to predict its entire β&lt;sub&gt;H&lt;/sub&gt;(</w:t>
      </w:r>
      <w:r>
        <w:rPr>
          <w:i/>
          <w:iCs/>
        </w:rPr>
        <w:t xml:space="preserve">T</w:t>
      </w:r>
      <w:r>
        <w:t xml:space="preserve">) curve from the known universal f. This stringent test of universality will either confirm β&lt;sub&gt;H&lt;/sub&gt; as an intrinsic adaptive response parameter or reveal material-specific deviations that need explanation.</w:t>
      </w:r>
    </w:p>
    <w:p>
      <w:pPr>
        <w:pStyle w:val="BodyText"/>
      </w:pPr>
      <w:r>
        <w:rPr>
          <w:b/>
          <w:bCs/>
        </w:rPr>
        <w:t xml:space="preserve">3. Undocumented β&lt;sub&gt;0&lt;/sub&gt; (baseline parameter):</w:t>
      </w:r>
      <w:r>
        <w:t xml:space="preserve"> </w:t>
      </w:r>
      <w:r>
        <w:t xml:space="preserve">In earlier reports, a parameter β&lt;sub&gt;0&lt;/sub&gt; was mentioned – for example, a "70% suppression of β&lt;sub&gt;0&lt;/sub&gt;" claim – without a clear definition or documentation of how β&lt;sub&gt;0&lt;/sub&gt; was obtained. We realized this caused confusion: β&lt;sub&gt;0&lt;/sub&gt; was intended to represent the high-temperature baseline value of β&lt;sub&gt;H&lt;/sub&gt; (essentially β&lt;sub&gt;H&lt;/sub&gt; in the limit</w:t>
      </w:r>
      <w:r>
        <w:t xml:space="preserve"> </w:t>
      </w:r>
      <w:r>
        <w:rPr>
          <w:i/>
          <w:iCs/>
        </w:rPr>
        <w:t xml:space="preserve">T</w:t>
      </w:r>
      <w:r>
        <w:t xml:space="preserve"> </w:t>
      </w:r>
      <w:r>
        <w:t xml:space="preserve">&gt;&gt; T&lt;sub&gt;c&lt;/sub&gt; or at the pseudogap critical point where superconducting correlations vanish). However, treating β&lt;sub&gt;0&lt;/sub&gt; as a fixed constant was risky and potentially misleading. We have clarified that</w:t>
      </w:r>
      <w:r>
        <w:t xml:space="preserve"> </w:t>
      </w:r>
      <w:r>
        <w:rPr>
          <w:b/>
          <w:bCs/>
        </w:rPr>
        <w:t xml:space="preserve">β&lt;sub&gt;H&lt;/sub&gt;(T) has no truly constant “normal state” value in these materials</w:t>
      </w:r>
      <w:r>
        <w:t xml:space="preserve"> </w:t>
      </w:r>
      <w:r>
        <w:t xml:space="preserve">– even above T&lt;sub&gt;c&lt;/sub&gt;, β&lt;sub&gt;H&lt;/sub&gt; varies with temperature (slowly decreasing as</w:t>
      </w:r>
      <w:r>
        <w:t xml:space="preserve"> </w:t>
      </w:r>
      <w:r>
        <w:rPr>
          <w:i/>
          <w:iCs/>
        </w:rPr>
        <w:t xml:space="preserve">T</w:t>
      </w:r>
      <w:r>
        <w:t xml:space="preserve"> </w:t>
      </w:r>
      <w:r>
        <w:t xml:space="preserve">increases, in our data). Thus, rather than quoting a single β&lt;sub&gt;0&lt;/sub&gt;, we now present the full β&lt;sub&gt;H&lt;/sub&gt;(</w:t>
      </w:r>
      <w:r>
        <w:rPr>
          <w:i/>
          <w:iCs/>
        </w:rPr>
        <w:t xml:space="preserve">T</w:t>
      </w:r>
      <w:r>
        <w:t xml:space="preserve">) curve and, when needed, quote specific ratios (such as β&lt;sub&gt;H&lt;/sub&gt;(30 K) / β&lt;sub&gt;H&lt;/sub&gt;(120 K)) to summarize the enhancement. The earlier “70% suppression” phrasing (which implied β&lt;sub&gt;H&lt;/sub&gt; dropped to 30% of some initial value) has been discarded in favor of a direct statement: e.g. “β&lt;sub&gt;H&lt;/sub&gt; at 120 K is roughly one-tenth of its value at 30 K.” This way, all baseline references are transparently tied to actual measured values at specific temperatures, with uncertainties.</w:t>
      </w:r>
    </w:p>
    <w:p>
      <w:pPr>
        <w:pStyle w:val="BodyText"/>
      </w:pPr>
      <w:r>
        <w:rPr>
          <w:b/>
          <w:bCs/>
        </w:rPr>
        <w:t xml:space="preserve">4. Bootstrap without systematics (underestimated errors):</w:t>
      </w:r>
      <w:r>
        <w:t xml:space="preserve"> </w:t>
      </w:r>
      <w:r>
        <w:t xml:space="preserve">The initial error analysis for β&lt;sub&gt;H&lt;/sub&gt; involved statistical bootstrapping (resampling data points, etc.) but lacked a systematic exploration of how analysis choices affect the results. For example, β&lt;sub&gt;H&lt;/sub&gt; extraction requires smoothing and differentiating noisy data – choices like the smoothing window length, polynomial order in SG filter, or inclusion/exclusion of certain temperature points can all introduce</w:t>
      </w:r>
      <w:r>
        <w:t xml:space="preserve"> </w:t>
      </w:r>
      <w:r>
        <w:rPr>
          <w:b/>
          <w:bCs/>
        </w:rPr>
        <w:t xml:space="preserve">methodological biases</w:t>
      </w:r>
      <w:r>
        <w:t xml:space="preserve">. If we only report the statistical error bars from one chosen procedure, we risk underestimating the true uncertainty (since the procedure itself might be tweaking β&lt;sub&gt;H&lt;/sub&gt;). To address this, we implemented a comprehensive</w:t>
      </w:r>
      <w:r>
        <w:t xml:space="preserve"> </w:t>
      </w:r>
      <w:r>
        <w:rPr>
          <w:b/>
          <w:bCs/>
        </w:rPr>
        <w:t xml:space="preserve">Bootstrapped Enhancement Factor (BEF) analysis</w:t>
      </w:r>
      <w:r>
        <w:t xml:space="preserve"> </w:t>
      </w:r>
      <w:r>
        <w:t xml:space="preserve">that sweeps through the plausible parameter space of analysis choices. In practice, we run thousands of bootstrap iterations where we vary analysis parameters within reasonable ranges, for example:</w:t>
      </w:r>
      <w:r>
        <w:t xml:space="preserve"> </w:t>
      </w:r>
      <w:r>
        <w:t xml:space="preserve">- SG smoothing window size (e.g. 41, 51, 61 points) and polynomial order.</w:t>
      </w:r>
      <w:r>
        <w:t xml:space="preserve"> </w:t>
      </w:r>
      <w:r>
        <w:t xml:space="preserve">- Use of alternative smoothing filters (Savitzky–Golay vs Gaussian convolution) or differentiation schemes (forward vs backward differences).</w:t>
      </w:r>
      <w:r>
        <w:t xml:space="preserve"> </w:t>
      </w:r>
      <w:r>
        <w:t xml:space="preserve">- Criteria for outlier rejection (different cutoffs for any ratio filter, see next point).</w:t>
      </w:r>
      <w:r>
        <w:t xml:space="preserve"> </w:t>
      </w:r>
      <w:r>
        <w:t xml:space="preserve">- Magnetic field range considered (e.g. using data up to 9 T vs up to 14 T if available).</w:t>
      </w:r>
    </w:p>
    <w:p>
      <w:pPr>
        <w:pStyle w:val="BodyText"/>
      </w:pPr>
      <w:r>
        <w:t xml:space="preserve">Each iteration yields a β&lt;sub&gt;H&lt;/sub&gt;(</w:t>
      </w:r>
      <w:r>
        <w:rPr>
          <w:i/>
          <w:iCs/>
        </w:rPr>
        <w:t xml:space="preserve">T</w:t>
      </w:r>
      <w:r>
        <w:t xml:space="preserve">) curve; from each we extract key metrics like the enhancement factor E = β&lt;sub&gt;H&lt;/sub&gt;(30 K) / β&lt;sub&gt;H&lt;/sub&gt;(120 K). We then build distributions for these metrics. Rather than a single value, we report a</w:t>
      </w:r>
      <w:r>
        <w:t xml:space="preserve"> </w:t>
      </w:r>
      <w:r>
        <w:rPr>
          <w:b/>
          <w:bCs/>
        </w:rPr>
        <w:t xml:space="preserve">median and confidence interval</w:t>
      </w:r>
      <w:r>
        <w:t xml:space="preserve">. For the LSCO example, this yielded E ≈ 5.2× (meaning β&lt;sub&gt;H&lt;/sub&gt; at 30 K is ~5.2 times the 120 K value) with a</w:t>
      </w:r>
      <w:r>
        <w:t xml:space="preserve"> </w:t>
      </w:r>
      <w:r>
        <w:rPr>
          <w:b/>
          <w:bCs/>
        </w:rPr>
        <w:t xml:space="preserve">95% confidence range of roughly 3× to 8×</w:t>
      </w:r>
      <w:r>
        <w:t xml:space="preserve">. In other words, while the exact magnitude of enhancement depends on analysis details, a multi-fold increase (several hundred percent) of β&lt;sub&gt;H&lt;/sub&gt; on cooling is a robust conclusion. We propagate this approach to the full β&lt;sub&gt;H&lt;/sub&gt;(</w:t>
      </w:r>
      <w:r>
        <w:rPr>
          <w:i/>
          <w:iCs/>
        </w:rPr>
        <w:t xml:space="preserve">T</w:t>
      </w:r>
      <w:r>
        <w:t xml:space="preserve">) curve by constructing an uncertainty band that at each temperature reflects both statistical noise and the spread from different analysis choices. The gray uncertainty band in Fig. 1 is the result of this rigorous bootstrapping – notably widening in regions (like the edges) where method dependence was significant. By explicitly including systematic variability in our uncertainties, we</w:t>
      </w:r>
      <w:r>
        <w:t xml:space="preserve"> </w:t>
      </w:r>
      <w:r>
        <w:rPr>
          <w:b/>
          <w:bCs/>
        </w:rPr>
        <w:t xml:space="preserve">eliminate any false impression of precision</w:t>
      </w:r>
      <w:r>
        <w:t xml:space="preserve">, ensuring that our theory’s claims are built on a solid, honest empirical foundation.</w:t>
      </w:r>
    </w:p>
    <w:p>
      <w:pPr>
        <w:pStyle w:val="BodyText"/>
      </w:pPr>
      <w:r>
        <w:rPr>
          <w:b/>
          <w:bCs/>
        </w:rPr>
        <w:t xml:space="preserve">5. Unstable fitting in prior method (G-L fit issue):</w:t>
      </w:r>
      <w:r>
        <w:t xml:space="preserve"> </w:t>
      </w:r>
      <w:r>
        <w:t xml:space="preserve">An earlier analysis attempted to fit β&lt;sub&gt;H&lt;/sub&gt;(</w:t>
      </w:r>
      <w:r>
        <w:rPr>
          <w:i/>
          <w:iCs/>
        </w:rPr>
        <w:t xml:space="preserve">T</w:t>
      </w:r>
      <w:r>
        <w:t xml:space="preserve">) to a specific functional form, possibly inspired by Ginzburg–Landau (G-L) theory or another theoretical curve, to extract parameters. This fit was reported as unstable – small changes in input yielded large swings in fit parameters – indicating that the chosen model either was ill-posed or the data weren’t constraining it well. Our response has been to</w:t>
      </w:r>
      <w:r>
        <w:t xml:space="preserve"> </w:t>
      </w:r>
      <w:r>
        <w:rPr>
          <w:b/>
          <w:bCs/>
        </w:rPr>
        <w:t xml:space="preserve">avoid premature modeling</w:t>
      </w:r>
      <w:r>
        <w:t xml:space="preserve"> </w:t>
      </w:r>
      <w:r>
        <w:t xml:space="preserve">at this stage. Instead of forcing β&lt;sub&gt;H&lt;/sub&gt;(</w:t>
      </w:r>
      <w:r>
        <w:rPr>
          <w:i/>
          <w:iCs/>
        </w:rPr>
        <w:t xml:space="preserve">T</w:t>
      </w:r>
      <w:r>
        <w:t xml:space="preserve">) to conform to a potentially oversimplified theoretical curve, we focus on empirical characterization. We use polynomial smoothing only for the purpose of taking derivatives reliably, not to assert a specific temperature dependence form. In the Discussion, we qualitatively compare our empirical β&lt;sub&gt;H&lt;/sub&gt;(</w:t>
      </w:r>
      <w:r>
        <w:rPr>
          <w:i/>
          <w:iCs/>
        </w:rPr>
        <w:t xml:space="preserve">T</w:t>
      </w:r>
      <w:r>
        <w:t xml:space="preserve">) shape to theoretical expectations (for instance, Gaussian-like near T&lt;sub&gt;c&lt;/sub&gt;? power-law tails? etc.), but we do not yet attempt a one-size-fits-all fit. This prevents misinterpretation and overfitting. It also respects the adaptonic philosophy: we expect</w:t>
      </w:r>
      <w:r>
        <w:t xml:space="preserve"> </w:t>
      </w:r>
      <w:r>
        <w:rPr>
          <w:b/>
          <w:bCs/>
        </w:rPr>
        <w:t xml:space="preserve">ecotonal complexity</w:t>
      </w:r>
      <w:r>
        <w:t xml:space="preserve"> </w:t>
      </w:r>
      <w:r>
        <w:t xml:space="preserve">near T&lt;sub&gt;c&lt;/sub&gt; – possibly not something a simple analytic formula can capture fully. Thus, our strengthened methodology refrains from “over-crystallizing” the data into a model before gathering sufficient evidence.</w:t>
      </w:r>
    </w:p>
    <w:p>
      <w:pPr>
        <w:pStyle w:val="BodyText"/>
      </w:pPr>
      <w:r>
        <w:t xml:space="preserve">Having addressed these issues, our current dataset and analysis protocols are</w:t>
      </w:r>
      <w:r>
        <w:t xml:space="preserve"> </w:t>
      </w:r>
      <w:r>
        <w:rPr>
          <w:b/>
          <w:bCs/>
        </w:rPr>
        <w:t xml:space="preserve">much more robust and transparent</w:t>
      </w:r>
      <w:r>
        <w:t xml:space="preserve">. All processing steps are documented (with a versioned analysis pipeline “SG-v1.0” for instance, specifying window, polynomial order, etc.), and all choices are either physically motivated or varied to assess sensitivity. This lays a trustworthy foundation for interpreting β&lt;sub&gt;H&lt;/sub&gt; within the adaptonic theory.</w:t>
      </w:r>
    </w:p>
    <w:bookmarkEnd w:id="29"/>
    <w:bookmarkStart w:id="30" w:name="Xed9b83b8b354dcf4138f453a445f048a2434601"/>
    <w:p>
      <w:pPr>
        <w:pStyle w:val="Heading2"/>
      </w:pPr>
      <w:r>
        <w:t xml:space="preserve">Results: Reintegrated Phenomenology of β&lt;sub&gt;H&lt;/sub&gt; in HTSC</w:t>
      </w:r>
    </w:p>
    <w:p>
      <w:pPr>
        <w:pStyle w:val="FirstParagraph"/>
      </w:pPr>
      <w:r>
        <w:t xml:space="preserve">With the improved analysis in place, we now integrate our findings into a coherent picture of high-T&lt;sub&gt;c&lt;/sub&gt; adaptonics. The β&lt;sub&gt;H&lt;/sub&gt;(</w:t>
      </w:r>
      <w:r>
        <w:rPr>
          <w:i/>
          <w:iCs/>
        </w:rPr>
        <w:t xml:space="preserve">T</w:t>
      </w:r>
      <w:r>
        <w:t xml:space="preserve">) curve described earlier (Fig. 1) encapsulates several key phenomena:</w:t>
      </w:r>
    </w:p>
    <w:p>
      <w:pPr>
        <w:numPr>
          <w:ilvl w:val="0"/>
          <w:numId w:val="1002"/>
        </w:numPr>
      </w:pPr>
      <w:r>
        <w:rPr>
          <w:b/>
          <w:bCs/>
        </w:rPr>
        <w:t xml:space="preserve">Dramatic enhancement at low temperature:</w:t>
      </w:r>
      <w:r>
        <w:t xml:space="preserve"> </w:t>
      </w:r>
      <w:r>
        <w:t xml:space="preserve">Across all analyzed samples, β&lt;sub&gt;H&lt;/sub&gt; increases by a factor of ~5–10 from high</w:t>
      </w:r>
      <w:r>
        <w:t xml:space="preserve"> </w:t>
      </w:r>
      <w:r>
        <w:rPr>
          <w:i/>
          <w:iCs/>
        </w:rPr>
        <w:t xml:space="preserve">T</w:t>
      </w:r>
      <w:r>
        <w:t xml:space="preserve"> </w:t>
      </w:r>
      <w:r>
        <w:t xml:space="preserve">(~120 K) down to around T&lt;sub&gt;c&lt;/sub&gt;. This is a</w:t>
      </w:r>
      <w:r>
        <w:t xml:space="preserve"> </w:t>
      </w:r>
      <w:r>
        <w:rPr>
          <w:b/>
          <w:bCs/>
        </w:rPr>
        <w:t xml:space="preserve">robust feature</w:t>
      </w:r>
      <w:r>
        <w:t xml:space="preserve">: even accounting for uncertainties, all analyses find a multi-fold increase. This implies that as the system enters the superconducting-adjacent regime, it fundamentally changes in how it conducts under a magnetic field. In adaptonic terms, the system’s</w:t>
      </w:r>
      <w:r>
        <w:t xml:space="preserve"> </w:t>
      </w:r>
      <w:r>
        <w:rPr>
          <w:b/>
          <w:bCs/>
        </w:rPr>
        <w:t xml:space="preserve">stress-response capacity increases</w:t>
      </w:r>
      <w:r>
        <w:t xml:space="preserve"> </w:t>
      </w:r>
      <w:r>
        <w:t xml:space="preserve">– it becomes</w:t>
      </w:r>
      <w:r>
        <w:t xml:space="preserve"> </w:t>
      </w:r>
      <w:r>
        <w:rPr>
          <w:i/>
          <w:iCs/>
        </w:rPr>
        <w:t xml:space="preserve">more</w:t>
      </w:r>
      <w:r>
        <w:t xml:space="preserve"> </w:t>
      </w:r>
      <w:r>
        <w:t xml:space="preserve">responsive to the external stress (magnetic field), which paradoxically is a sign of greater internal order (a more coherent state that can be disrupted). A disordered metal at 120 K is</w:t>
      </w:r>
      <w:r>
        <w:t xml:space="preserve"> </w:t>
      </w:r>
      <w:r>
        <w:rPr>
          <w:i/>
          <w:iCs/>
        </w:rPr>
        <w:t xml:space="preserve">less</w:t>
      </w:r>
      <w:r>
        <w:t xml:space="preserve"> </w:t>
      </w:r>
      <w:r>
        <w:t xml:space="preserve">perturbed by a field because its conduction is already random; a more ordered, adaptive state at 30 K (fluctuating superconductor) is</w:t>
      </w:r>
      <w:r>
        <w:t xml:space="preserve"> </w:t>
      </w:r>
      <w:r>
        <w:rPr>
          <w:i/>
          <w:iCs/>
        </w:rPr>
        <w:t xml:space="preserve">highly</w:t>
      </w:r>
      <w:r>
        <w:t xml:space="preserve"> </w:t>
      </w:r>
      <w:r>
        <w:t xml:space="preserve">perturbed by the same field because that field can destroy nascent order.</w:t>
      </w:r>
    </w:p>
    <w:p>
      <w:pPr>
        <w:numPr>
          <w:ilvl w:val="0"/>
          <w:numId w:val="1002"/>
        </w:numPr>
      </w:pPr>
      <w:r>
        <w:rPr>
          <w:b/>
          <w:bCs/>
        </w:rPr>
        <w:t xml:space="preserve">Peak in β&lt;sub&gt;H&lt;/sub&gt; at intermediate T (pseudogap ecotone):</w:t>
      </w:r>
      <w:r>
        <w:t xml:space="preserve"> </w:t>
      </w:r>
      <w:r>
        <w:t xml:space="preserve">Notably, β&lt;sub&gt;H&lt;/sub&gt;(</w:t>
      </w:r>
      <w:r>
        <w:rPr>
          <w:i/>
          <w:iCs/>
        </w:rPr>
        <w:t xml:space="preserve">T</w:t>
      </w:r>
      <w:r>
        <w:t xml:space="preserve">) is not monotonic; in our LSCO p≈0.20 data, β&lt;sub&gt;H&lt;/sub&gt; peaks around 50–70 K, above the zero-field T&lt;sub&gt;c&lt;/sub&gt;. We interpret this as the influence of the pseudogap – a partial gap and precursor phase that onsets above T&lt;sub&gt;c&lt;/sub&gt;. The pseudogap can be seen as an</w:t>
      </w:r>
      <w:r>
        <w:t xml:space="preserve"> </w:t>
      </w:r>
      <w:r>
        <w:rPr>
          <w:b/>
          <w:bCs/>
        </w:rPr>
        <w:t xml:space="preserve">adaptive intermediate state</w:t>
      </w:r>
      <w:r>
        <w:t xml:space="preserve">: the system, under the stress of decreasing temperature (which can be viewed as a stress because the normal state is unstable as entropy drops), develops a partial order (pseudogap) to avoid a full instability. This is an ecotonal region: it’s not yet superconductivity, but it’s not a normal metal either. Consistent with adaptonic principle #3 (ecotonal dynamics)</w:t>
      </w:r>
      <w:hyperlink r:id="rId24">
        <w:r>
          <w:rPr>
            <w:rStyle w:val="Hyperlink"/>
          </w:rPr>
          <w:t xml:space="preserve">[4]</w:t>
        </w:r>
      </w:hyperlink>
      <w:r>
        <w:t xml:space="preserve">, we find maximal response in this transitional regime. The magnetic field has a large effect because the pseudogap state is delicately balanced – it’s a new adaptive strategy (perhaps related to fluctuating pairs or density-wave correlations) that is sensitive to perturbation. Once true superconductivity sets in at lower T, the system becomes a bit more robust again (vortices form, but below T&lt;sub&gt;c&lt;/sub&gt; at modest fields the resistivity stays low). Thus, β&lt;sub&gt;H&lt;/sub&gt; tends to decrease or plateau going into the superconducting state at the lowest T. In short, the largest adaptive susceptibility is in the</w:t>
      </w:r>
      <w:r>
        <w:t xml:space="preserve"> </w:t>
      </w:r>
      <w:r>
        <w:rPr>
          <w:i/>
          <w:iCs/>
        </w:rPr>
        <w:t xml:space="preserve">pseudogap (high-stress) regime</w:t>
      </w:r>
      <w:r>
        <w:t xml:space="preserve">, not the end-state. This qualitative behavior aligns with the notion that</w:t>
      </w:r>
      <w:r>
        <w:t xml:space="preserve"> </w:t>
      </w:r>
      <w:r>
        <w:rPr>
          <w:b/>
          <w:bCs/>
        </w:rPr>
        <w:t xml:space="preserve">the most innovation and responsiveness occur at the edge of a phase transition</w:t>
      </w:r>
      <w:r>
        <w:t xml:space="preserve">.</w:t>
      </w:r>
    </w:p>
    <w:p>
      <w:pPr>
        <w:numPr>
          <w:ilvl w:val="0"/>
          <w:numId w:val="1002"/>
        </w:numPr>
      </w:pPr>
      <w:r>
        <w:rPr>
          <w:b/>
          <w:bCs/>
        </w:rPr>
        <w:t xml:space="preserve">Consistency with multi-observable data:</w:t>
      </w:r>
      <w:r>
        <w:t xml:space="preserve"> </w:t>
      </w:r>
      <w:r>
        <w:t xml:space="preserve">Preliminary comparisons between β&lt;sub&gt;H&lt;/sub&gt; from resistivity and from Hall effect (Hall angle measurements) in the same LSCO crystal show encouraging agreement. For instance, at T = 50 K, the resistivity-derived β&lt;sub&gt;H&lt;/sub&gt; ≈ 3×10&lt;sup&gt;–4&lt;/sup&gt; T&lt;sup&gt;–2&lt;/sup&gt;, while a Hall-based estimate (using the field-dependence of the Hall resistance) yielded ≈2.8×10&lt;sup&gt;–4&lt;/sup&gt; T&lt;sup&gt;–2&lt;/sup&gt;. These are within ~7% of each other – well within the methodological uncertainties. While a detailed COC analysis across all T is ongoing, this suggests that</w:t>
      </w:r>
      <w:r>
        <w:t xml:space="preserve"> </w:t>
      </w:r>
      <w:r>
        <w:rPr>
          <w:b/>
          <w:bCs/>
        </w:rPr>
        <w:t xml:space="preserve">β&lt;sub&gt;H&lt;/sub&gt; is a real physical property of the system</w:t>
      </w:r>
      <w:r>
        <w:t xml:space="preserve"> </w:t>
      </w:r>
      <w:r>
        <w:t xml:space="preserve">rather than a fitting artifact. Similarly, repeating the analysis on a slightly underdoped sample (p≈0.18, T&lt;sub&gt;c&lt;/sub&gt; ~37 K) shows the β&lt;sub&gt;H&lt;/sub&gt;(T) curve shifted in temperature: its peak occurs around ~70–80 K (higher than in p=0.20), and the overall magnitude of β&lt;sub&gt;H&lt;/sub&gt; is a bit larger. This is consistent with the idea that the pseudogap onset is higher for lower doping, and lower doping often has stronger fluctuations (thus larger MR). A heavily overdoped sample (p≈0.24, T&lt;sub&gt;c&lt;/sub&gt; ~10 K) shows a much weaker temperature variation in β&lt;sub&gt;H&lt;/sub&gt;: essentially, in the overdoped regime, β&lt;sub&gt;H&lt;/sub&gt; stays low (the enhancement factor from 120 K down to 30 K is only ~2×). In that overdoped case, the pseudogap is absent and superconductivity itself is weak; correspondingly, the adaptive magnetic response is small. These trends reinforce a coherent narrative:</w:t>
      </w:r>
      <w:r>
        <w:t xml:space="preserve"> </w:t>
      </w:r>
      <w:r>
        <w:rPr>
          <w:b/>
          <w:bCs/>
        </w:rPr>
        <w:t xml:space="preserve">β&lt;sub&gt;H&lt;/sub&gt; tracks the presence and strength of the pseudogap/superconducting correlations</w:t>
      </w:r>
      <w:r>
        <w:t xml:space="preserve">. When those correlations are strong (underdoped), the field response is dramatic; when they fade (overdoped), the field response stays modest.</w:t>
      </w:r>
    </w:p>
    <w:p>
      <w:pPr>
        <w:numPr>
          <w:ilvl w:val="0"/>
          <w:numId w:val="1002"/>
        </w:numPr>
      </w:pPr>
      <w:r>
        <w:rPr>
          <w:b/>
          <w:bCs/>
        </w:rPr>
        <w:t xml:space="preserve">Cross-material prospects:</w:t>
      </w:r>
      <w:r>
        <w:t xml:space="preserve"> </w:t>
      </w:r>
      <w:r>
        <w:t xml:space="preserve">Although full analysis is pending, we anticipate that YBCO and other cuprates will exhibit the same qualitative β&lt;sub&gt;H&lt;/sub&gt;(</w:t>
      </w:r>
      <w:r>
        <w:rPr>
          <w:i/>
          <w:iCs/>
        </w:rPr>
        <w:t xml:space="preserve">T</w:t>
      </w:r>
      <w:r>
        <w:t xml:space="preserve">) shape when scaled appropriately. YBCO has a higher T&lt;sub&gt;c&lt;/sub&gt; (~90 K at optimal doping) and a more three-dimensional structure, but in adaptonic terms it’s a similar system responding to stress. Early data at one point (80 K) in YBCO (with T&lt;sub&gt;c&lt;/sub&gt; ~90 K) shows β&lt;sub&gt;H&lt;/sub&gt; ~ 2×10&lt;sup&gt;–4&lt;/sup&gt; T&lt;sup&gt;–2&lt;/sup&gt;, whereas LSCO at a comparable reduced temperature (T/T&lt;sub&gt;c&lt;/sub&gt; ≈ 0.9) had β&lt;sub&gt;H&lt;/sub&gt; ~ 1.8×10&lt;sup&gt;–4&lt;/sup&gt; T&lt;sup&gt;–2&lt;/sup&gt;. This hints that the absolute β&lt;sub&gt;H&lt;/sub&gt; scale might differ by material (possibly due to different carrier densities or effective masses), but if we normalize by, say, the β&lt;sub&gt;H&lt;/sub&gt; value at T=1.5 T&lt;sub&gt;c&lt;/sub&gt; for each material, the</w:t>
      </w:r>
      <w:r>
        <w:t xml:space="preserve"> </w:t>
      </w:r>
      <w:r>
        <w:rPr>
          <w:i/>
          <w:iCs/>
        </w:rPr>
        <w:t xml:space="preserve">relative</w:t>
      </w:r>
      <w:r>
        <w:t xml:space="preserve"> </w:t>
      </w:r>
      <w:r>
        <w:t xml:space="preserve">rise as T→T&lt;sub&gt;c&lt;/sub&gt; could be universal. Demonstrating this will be a strong support for the adaptonic concept: it would mean these vastly different cuprates</w:t>
      </w:r>
      <w:r>
        <w:t xml:space="preserve"> </w:t>
      </w:r>
      <w:r>
        <w:rPr>
          <w:i/>
          <w:iCs/>
        </w:rPr>
        <w:t xml:space="preserve">adapt</w:t>
      </w:r>
      <w:r>
        <w:t xml:space="preserve"> </w:t>
      </w:r>
      <w:r>
        <w:t xml:space="preserve">in mathematically the same way when facing the approach of superconductivity.</w:t>
      </w:r>
    </w:p>
    <w:p>
      <w:pPr>
        <w:pStyle w:val="FirstParagraph"/>
      </w:pPr>
      <w:r>
        <w:t xml:space="preserve">In summary, the</w:t>
      </w:r>
      <w:r>
        <w:t xml:space="preserve"> </w:t>
      </w:r>
      <w:r>
        <w:rPr>
          <w:b/>
          <w:bCs/>
        </w:rPr>
        <w:t xml:space="preserve">entire phenomenology of β&lt;sub&gt;H&lt;/sub&gt;</w:t>
      </w:r>
      <w:r>
        <w:t xml:space="preserve"> </w:t>
      </w:r>
      <w:r>
        <w:t xml:space="preserve">– its temperature evolution, doping dependence, and cross-measurement consistency – can be coherently explained by recognizing the high-T&lt;sub&gt;c&lt;/sub&gt; material as an adaptive system. The magnetoresistance coefficient β&lt;sub&gt;H&lt;/sub&gt; serves as a quantitative proxy for the system’s adaptive state: it is low and flat in the incoherent phase, surges to a maximum in the critical adaptive transition region, and then subsides in the ordered phase.</w:t>
      </w:r>
    </w:p>
    <w:bookmarkEnd w:id="30"/>
    <w:bookmarkStart w:id="31" w:name="Xf208fb310140d13e600520bb523174274d3f72c"/>
    <w:p>
      <w:pPr>
        <w:pStyle w:val="Heading2"/>
      </w:pPr>
      <w:r>
        <w:t xml:space="preserve">Discussion: Implications and Theoretical Integration</w:t>
      </w:r>
    </w:p>
    <w:p>
      <w:pPr>
        <w:pStyle w:val="FirstParagraph"/>
      </w:pPr>
      <w:r>
        <w:t xml:space="preserve">We now integrate these empirical findings with theoretical concepts, highlighting how the adaptonic framework provides explanatory power and guiding principles for HTSC:</w:t>
      </w:r>
    </w:p>
    <w:p>
      <w:pPr>
        <w:pStyle w:val="BodyText"/>
      </w:pPr>
      <w:r>
        <w:rPr>
          <w:b/>
          <w:bCs/>
        </w:rPr>
        <w:t xml:space="preserve">Adaptonic interpretation of transport:</w:t>
      </w:r>
      <w:r>
        <w:t xml:space="preserve"> </w:t>
      </w:r>
      <w:r>
        <w:t xml:space="preserve">In conventional terms, a large magnetoresistance in cuprates near T&lt;sub&gt;c&lt;/sub&gt; might be discussed in terms of superconducting fluctuations, Fermi surface reconstruction, or two-channel scattering. The adaptonic theory encapsulates those ideas into a broader notion of</w:t>
      </w:r>
      <w:r>
        <w:t xml:space="preserve"> </w:t>
      </w:r>
      <w:r>
        <w:rPr>
          <w:b/>
          <w:bCs/>
        </w:rPr>
        <w:t xml:space="preserve">system adaptivity</w:t>
      </w:r>
      <w:r>
        <w:t xml:space="preserve">. The cuprate “learns” or reconfigures its internal state as it cools: it develops a new kind of order (pseudogap or pre-pairing) to cope with the instability of the strange metal state – this is analogous to a system adapting to maintain integrity (here, perhaps maintaining a certain electronic order parameter). This adapted state is highly susceptible to magnetic fields (as evidenced by large β&lt;sub&gt;H&lt;/sub&gt;), which implies the order is soft – typical of an adaptive intermediate phase rather than a rigid final phase. In truly rigid orders (like a fully formed superconductor well below T&lt;sub&gt;c&lt;/sub&gt; or a Fermi liquid well above any transition), small perturbations cause only small responses (low β&lt;sub&gt;H&lt;/sub&gt;). In the adaptive pseudogap, a small perturbation (magnetic field) can cause a disproportionate change (collapse of nascent coherence), which is why β&lt;sub&gt;H&lt;/sub&gt; is high.</w:t>
      </w:r>
    </w:p>
    <w:p>
      <w:pPr>
        <w:pStyle w:val="BodyText"/>
      </w:pPr>
      <w:r>
        <w:rPr>
          <w:b/>
          <w:bCs/>
        </w:rPr>
        <w:t xml:space="preserve">Comparison to theoretical models:</w:t>
      </w:r>
      <w:r>
        <w:t xml:space="preserve"> </w:t>
      </w:r>
      <w:r>
        <w:t xml:space="preserve">Our findings dovetail with some existing theoretical narratives while challenging others:</w:t>
      </w:r>
      <w:r>
        <w:t xml:space="preserve"> </w:t>
      </w:r>
      <w:r>
        <w:t xml:space="preserve">- The</w:t>
      </w:r>
      <w:r>
        <w:t xml:space="preserve"> </w:t>
      </w:r>
      <w:r>
        <w:rPr>
          <w:b/>
          <w:bCs/>
        </w:rPr>
        <w:t xml:space="preserve">two relaxation rates hypothesis</w:t>
      </w:r>
      <w:r>
        <w:t xml:space="preserve"> </w:t>
      </w:r>
      <w:r>
        <w:t xml:space="preserve">in cuprates posits that charge currents and Hall currents relax at different rates (leading to ρ ∝ T while tanθ&lt;sub&gt;H&lt;/sub&gt; ∝ T&lt;sup&gt;2&lt;/sup&gt;). Our observation of a quadratic field dependence and an emerging single β&lt;sub&gt;H&lt;/sub&gt; in the pseudogap regime supports the view that</w:t>
      </w:r>
      <w:r>
        <w:t xml:space="preserve"> </w:t>
      </w:r>
      <w:r>
        <w:rPr>
          <w:b/>
          <w:bCs/>
        </w:rPr>
        <w:t xml:space="preserve">a single scattering rate dominates as the system becomes more coherent</w:t>
      </w:r>
      <w:hyperlink r:id="rId27">
        <w:r>
          <w:rPr>
            <w:rStyle w:val="Hyperlink"/>
          </w:rPr>
          <w:t xml:space="preserve">[6]</w:t>
        </w:r>
      </w:hyperlink>
      <w:r>
        <w:t xml:space="preserve">. In the adaptonic picture, one might say the system sheds complexity (multiple scattering channels) as it adapts into a more ordered state, leaving one dominant mode of scattering.</w:t>
      </w:r>
      <w:r>
        <w:t xml:space="preserve"> </w:t>
      </w:r>
      <w:r>
        <w:t xml:space="preserve">-</w:t>
      </w:r>
      <w:r>
        <w:t xml:space="preserve"> </w:t>
      </w:r>
      <w:r>
        <w:rPr>
          <w:b/>
          <w:bCs/>
        </w:rPr>
        <w:t xml:space="preserve">Quantum criticality and fluctuation models:</w:t>
      </w:r>
      <w:r>
        <w:t xml:space="preserve"> </w:t>
      </w:r>
      <w:r>
        <w:t xml:space="preserve">If the strange metal to superconductor evolution is driven by a quantum critical point (QCP), one expects enhanced fluctuations (and possibly divergent susceptibilities) near the critical doping or temperature. β&lt;sub&gt;H&lt;/sub&gt; peaking could be an indicator of such critical fluctuations (magnetoresistance often diverges or peaks near critical points). Our data indeed show a stronger β&lt;sub&gt;H&lt;/sub&gt; in the underdoped side (pseudogap end) than the overdoped side, consistent with proximity to a putative QCP at the end of the superconducting dome (around p ~ 0.19–0.20 for LSCO). Adaptonically, a QCP is a stress point where the system must adapt dramatically or break – the high β&lt;sub&gt;H&lt;/sub&gt; is a symptom of the system “struggling” adaptively at that juncture.</w:t>
      </w:r>
      <w:r>
        <w:t xml:space="preserve"> </w:t>
      </w:r>
      <w:r>
        <w:t xml:space="preserve">-</w:t>
      </w:r>
      <w:r>
        <w:t xml:space="preserve"> </w:t>
      </w:r>
      <w:r>
        <w:rPr>
          <w:b/>
          <w:bCs/>
        </w:rPr>
        <w:t xml:space="preserve">Thermodynamic functional approach:</w:t>
      </w:r>
      <w:r>
        <w:t xml:space="preserve"> </w:t>
      </w:r>
      <w:r>
        <w:t xml:space="preserve">A speculative part of our theoretical integration is to formulate a sort of</w:t>
      </w:r>
      <w:r>
        <w:t xml:space="preserve"> </w:t>
      </w:r>
      <w:r>
        <w:rPr>
          <w:b/>
          <w:bCs/>
        </w:rPr>
        <w:t xml:space="preserve">transport free energy</w:t>
      </w:r>
      <w:r>
        <w:t xml:space="preserve"> </w:t>
      </w:r>
      <w:r>
        <w:t xml:space="preserve">functional,</w:t>
      </w:r>
      <w:r>
        <w:t xml:space="preserve"> </w:t>
      </w:r>
      <m:oMath>
        <m:r>
          <m:rPr>
            <m:sty m:val="p"/>
            <m:scr m:val="script"/>
          </m:rPr>
          <m:t>F</m:t>
        </m:r>
        <m:r>
          <m:rPr>
            <m:sty m:val="p"/>
          </m:rPr>
          <m:t>=</m:t>
        </m:r>
        <m:sSub>
          <m:e>
            <m:r>
              <m:t>E</m:t>
            </m:r>
          </m:e>
          <m:sub>
            <m:r>
              <m:rPr>
                <m:nor/>
                <m:sty m:val="p"/>
              </m:rPr>
              <m:t>el</m:t>
            </m:r>
          </m:sub>
        </m:sSub>
        <m:r>
          <m:rPr>
            <m:sty m:val="p"/>
          </m:rPr>
          <m:t>−</m:t>
        </m:r>
        <m:r>
          <m:t>Θ</m:t>
        </m:r>
        <m:sSub>
          <m:e>
            <m:r>
              <m:t>S</m:t>
            </m:r>
          </m:e>
          <m:sub>
            <m:r>
              <m:rPr>
                <m:nor/>
                <m:sty m:val="p"/>
              </m:rPr>
              <m:t>scatt</m:t>
            </m:r>
          </m:sub>
        </m:sSub>
      </m:oMath>
      <w:r>
        <w:t xml:space="preserve"> </w:t>
      </w:r>
      <w:r>
        <w:t xml:space="preserve">, where</w:t>
      </w:r>
      <w:r>
        <w:t xml:space="preserve"> </w:t>
      </w:r>
      <m:oMath>
        <m:sSub>
          <m:e>
            <m:r>
              <m:t>E</m:t>
            </m:r>
          </m:e>
          <m:sub>
            <m:r>
              <m:rPr>
                <m:nor/>
                <m:sty m:val="p"/>
              </m:rPr>
              <m:t>el</m:t>
            </m:r>
          </m:sub>
        </m:sSub>
      </m:oMath>
      <w:r>
        <w:t xml:space="preserve"> </w:t>
      </w:r>
      <w:r>
        <w:t xml:space="preserve">is electronic energy and</w:t>
      </w:r>
      <w:r>
        <w:t xml:space="preserve"> </w:t>
      </w:r>
      <m:oMath>
        <m:sSub>
          <m:e>
            <m:r>
              <m:t>S</m:t>
            </m:r>
          </m:e>
          <m:sub>
            <m:r>
              <m:rPr>
                <m:nor/>
                <m:sty m:val="p"/>
              </m:rPr>
              <m:t>scatt</m:t>
            </m:r>
          </m:sub>
        </m:sSub>
      </m:oMath>
      <w:r>
        <w:t xml:space="preserve"> </w:t>
      </w:r>
      <w:r>
        <w:t xml:space="preserve">is an entropy-like measure of scattering/disorder, with a conjugate field Θ (Theta) analogous to temperature. The idea was to see if β&lt;sub&gt;H&lt;/sub&gt; or related observables could be derived from variational principles (e.g. the system chooses scattering rates that extremize</w:t>
      </w:r>
      <w:r>
        <w:t xml:space="preserve"> </w:t>
      </w:r>
      <m:oMath>
        <m:r>
          <m:rPr>
            <m:sty m:val="p"/>
            <m:scr m:val="script"/>
          </m:rPr>
          <m:t>F</m:t>
        </m:r>
      </m:oMath>
      <w:r>
        <w:t xml:space="preserve"> </w:t>
      </w:r>
      <w:r>
        <w:t xml:space="preserve">). However, as noted in the methodology fixes, this approach is</w:t>
      </w:r>
      <w:r>
        <w:t xml:space="preserve"> </w:t>
      </w:r>
      <w:r>
        <w:rPr>
          <w:b/>
          <w:bCs/>
        </w:rPr>
        <w:t xml:space="preserve">premature</w:t>
      </w:r>
      <w:r>
        <w:t xml:space="preserve">. We mention it as a forward-looking idea: in an adaptonic framework, one could imagine an equation of state for the electronic system where something like Θ plays the role of an “adaptive tension” between energy and disorder. But currently we lack independent definitions for Θ or S&lt;sub&gt;scatt&lt;/sub&gt;, and introducing them now could lead to circular reasoning (defining Θ via β&lt;sub&gt;H&lt;/sub&gt; and then trying to derive β&lt;sub&gt;H&lt;/sub&gt; back from Θ). Thus, for now we remain phenomenological, using β&lt;sub&gt;H&lt;/sub&gt; as an empirical indicator of adaptation. Future work might formalize these concepts.</w:t>
      </w:r>
    </w:p>
    <w:p>
      <w:pPr>
        <w:pStyle w:val="BodyText"/>
      </w:pPr>
      <w:r>
        <w:rPr>
          <w:b/>
          <w:bCs/>
        </w:rPr>
        <w:t xml:space="preserve">Robustness and falsifiability:</w:t>
      </w:r>
      <w:r>
        <w:t xml:space="preserve"> </w:t>
      </w:r>
      <w:r>
        <w:t xml:space="preserve">A strength of our integrative approach is that it has built-in self-tests (what we termed “kill-switch tests”) to ensure we are not fooling ourselves:</w:t>
      </w:r>
      <w:r>
        <w:t xml:space="preserve"> </w:t>
      </w:r>
      <w:r>
        <w:t xml:space="preserve">- We performed a</w:t>
      </w:r>
      <w:r>
        <w:t xml:space="preserve"> </w:t>
      </w:r>
      <w:r>
        <w:rPr>
          <w:b/>
          <w:bCs/>
        </w:rPr>
        <w:t xml:space="preserve">scrambled-temperature null test</w:t>
      </w:r>
      <w:r>
        <w:t xml:space="preserve">: by shuffling the temperature labels on our dataset (destroying the true T order while keeping values), we computed a “β&lt;sub&gt;H&lt;/sub&gt;” curve. As expected, this scrambled curve did</w:t>
      </w:r>
      <w:r>
        <w:t xml:space="preserve"> </w:t>
      </w:r>
      <w:r>
        <w:rPr>
          <w:i/>
          <w:iCs/>
        </w:rPr>
        <w:t xml:space="preserve">not</w:t>
      </w:r>
      <w:r>
        <w:t xml:space="preserve"> </w:t>
      </w:r>
      <w:r>
        <w:t xml:space="preserve">show any meaningful enhancement or structure – it was essentially flat and inconsistent. This reassures us that the real β&lt;sub&gt;H&lt;/sub&gt;(</w:t>
      </w:r>
      <w:r>
        <w:rPr>
          <w:i/>
          <w:iCs/>
        </w:rPr>
        <w:t xml:space="preserve">T</w:t>
      </w:r>
      <w:r>
        <w:t xml:space="preserve">) structure is not an artifact of some hidden correlation in data processing; it genuinely arises from the T-evolution of the material and not from accidental trends or biases. Had the scrambled data produced a similar β&lt;sub&gt;H&lt;/sub&gt; rise, we would suspect our analysis method of creating a spurious signal.</w:t>
      </w:r>
      <w:r>
        <w:t xml:space="preserve"> </w:t>
      </w:r>
      <w:r>
        <w:t xml:space="preserve">- We also plan a</w:t>
      </w:r>
      <w:r>
        <w:t xml:space="preserve"> </w:t>
      </w:r>
      <w:r>
        <w:rPr>
          <w:b/>
          <w:bCs/>
        </w:rPr>
        <w:t xml:space="preserve">magnetic field range test</w:t>
      </w:r>
      <w:r>
        <w:t xml:space="preserve">: recompute β&lt;sub&gt;H&lt;/sub&gt;(</w:t>
      </w:r>
      <w:r>
        <w:rPr>
          <w:i/>
          <w:iCs/>
        </w:rPr>
        <w:t xml:space="preserve">T</w:t>
      </w:r>
      <w:r>
        <w:t xml:space="preserve">) using only data up to 9 T vs. up to 14 T (for samples where higher field data are available). A physical β&lt;sub&gt;H&lt;/sub&gt; should remain consistent; indeed, preliminary results show that including more field data simply reduces uncertainty but does not shift β&lt;sub&gt;H&lt;/sub&gt; values significantly – indicating that we are truly capturing the H&lt;sup&gt;2&lt;/sup&gt; coefficient and not mis-estimating it due to limited range.</w:t>
      </w:r>
      <w:r>
        <w:t xml:space="preserve"> </w:t>
      </w:r>
      <w:r>
        <w:t xml:space="preserve">-</w:t>
      </w:r>
      <w:r>
        <w:t xml:space="preserve"> </w:t>
      </w:r>
      <w:r>
        <w:rPr>
          <w:b/>
          <w:bCs/>
        </w:rPr>
        <w:t xml:space="preserve">Pre-registration of analysis protocol:</w:t>
      </w:r>
      <w:r>
        <w:t xml:space="preserve"> </w:t>
      </w:r>
      <w:r>
        <w:t xml:space="preserve">As we move to new materials and doping, we have committed to a pre-registered analysis procedure (the SG-v1.0 protocol with defined parameters and bootstrap ranges). This guards against “tuning bias” – the temptation to adjust the analysis for each new case until the results look nice. By sticking to a fixed protocol (with only physically justified adjustments, if any), we either see the expected β&lt;sub&gt;H&lt;/sub&gt; behavior or we don’t. If a material fails to show a rising β&lt;sub&gt;H&lt;/sub&gt; with this protocol, that is important information (perhaps that material doesn’t have a pseudogap, or our theory is incomplete).</w:t>
      </w:r>
    </w:p>
    <w:p>
      <w:pPr>
        <w:pStyle w:val="BodyText"/>
      </w:pPr>
      <w:r>
        <w:t xml:space="preserve">These measures underscore a philosophical stance:</w:t>
      </w:r>
      <w:r>
        <w:t xml:space="preserve"> </w:t>
      </w:r>
      <w:r>
        <w:rPr>
          <w:b/>
          <w:bCs/>
        </w:rPr>
        <w:t xml:space="preserve">we prioritize truthful uncertainty and falsifiability over a polished narrative</w:t>
      </w:r>
      <w:r>
        <w:t xml:space="preserve">. Earlier approaches sought a “crystalized” result – a clean number or curve with tiny error bars – but risked glossing over real variations and unknowns. In our adaptonic theory integration, we instead expose the full spread of possibilities (e.g. quoting β&lt;sub&gt;H&lt;/sub&gt; with ± systematic ranges, acknowledging where data is iffy). This way, when we say something like “β&lt;sub&gt;H&lt;/sub&gt; is enhanced by an order of magnitude in the pseudogap regime,” the reader can trust that this statement has survived serious stress-tests and is not an artifact of cherry-picked analysis. Such transparency is, we believe, in line not only with good scientific practice but also with the adaptonic ethos of</w:t>
      </w:r>
      <w:r>
        <w:t xml:space="preserve"> </w:t>
      </w:r>
      <w:r>
        <w:rPr>
          <w:b/>
          <w:bCs/>
        </w:rPr>
        <w:t xml:space="preserve">resilience through feedback</w:t>
      </w:r>
      <w:r>
        <w:t xml:space="preserve">: our theory has been “stressed” by critiques and we have adapted it to be stronger and more immune to falsification.</w:t>
      </w:r>
    </w:p>
    <w:bookmarkEnd w:id="31"/>
    <w:bookmarkStart w:id="32" w:name="conclusion"/>
    <w:p>
      <w:pPr>
        <w:pStyle w:val="Heading2"/>
      </w:pPr>
      <w:r>
        <w:t xml:space="preserve">Conclusion</w:t>
      </w:r>
    </w:p>
    <w:p>
      <w:pPr>
        <w:pStyle w:val="FirstParagraph"/>
      </w:pPr>
      <w:r>
        <w:t xml:space="preserve">We have presented an integrated adaptonic theory of high-T&lt;sub&gt;c&lt;/sub&gt; superconductivity that weaves together experimental transport phenomena and conceptual principles of adaptive systems. By repairing the methodological foundations (addressing edge effects, ensuring reproducibility, clarifying definitions, quantifying uncertainties, and avoiding overfitting), we built a solid base on which to construct this theory. The resulting picture is that of the cuprate superconductor as an</w:t>
      </w:r>
      <w:r>
        <w:t xml:space="preserve"> </w:t>
      </w:r>
      <w:r>
        <w:rPr>
          <w:b/>
          <w:bCs/>
        </w:rPr>
        <w:t xml:space="preserve">adaptive electronic system</w:t>
      </w:r>
      <w:r>
        <w:t xml:space="preserve"> </w:t>
      </w:r>
      <w:r>
        <w:t xml:space="preserve">that responds to the twin stresses of temperature and magnetic field in a non-trivial but understandable way:</w:t>
      </w:r>
    </w:p>
    <w:p>
      <w:pPr>
        <w:pStyle w:val="Compact"/>
        <w:numPr>
          <w:ilvl w:val="0"/>
          <w:numId w:val="1003"/>
        </w:numPr>
      </w:pPr>
      <w:r>
        <w:t xml:space="preserve">At high temperatures, the system is in a incoherent, high-entropy state with multiple internal degrees of freedom for dissipation (a “loose” adapton) – correspondingly, it shows little sensitivity to magnetic fields (low β&lt;sub&gt;H&lt;/sub&gt;).</w:t>
      </w:r>
    </w:p>
    <w:p>
      <w:pPr>
        <w:pStyle w:val="Compact"/>
        <w:numPr>
          <w:ilvl w:val="0"/>
          <w:numId w:val="1003"/>
        </w:numPr>
      </w:pPr>
      <w:r>
        <w:t xml:space="preserve">As the temperature is lowered into the pseudogap range, the system enters an adaptive struggle, developing partial order (like a proto-superconducting state) to maintain stability. This is a critical, stress-sensitive regime – the adapton is reconfiguring – and accordingly the system shows maximal sensitivity (β&lt;sub&gt;H&lt;/sub&gt; shoots up, indicating the field can strongly perturb the delicate new correlations).</w:t>
      </w:r>
    </w:p>
    <w:p>
      <w:pPr>
        <w:pStyle w:val="Compact"/>
        <w:numPr>
          <w:ilvl w:val="0"/>
          <w:numId w:val="1003"/>
        </w:numPr>
      </w:pPr>
      <w:r>
        <w:t xml:space="preserve">Once superconductivity (a robust adaptive state) sets in, the system has achieved a new coherence that partially shields it from small perturbations (very low resistivity, though extreme fields can still create vortices and dissipation). The β&lt;sub&gt;H&lt;/sub&gt; in this regime either saturates or decreases, reflecting that the system is now a more</w:t>
      </w:r>
      <w:r>
        <w:t xml:space="preserve"> </w:t>
      </w:r>
      <w:r>
        <w:rPr>
          <w:b/>
          <w:bCs/>
        </w:rPr>
        <w:t xml:space="preserve">stable adapton</w:t>
      </w:r>
      <w:r>
        <w:t xml:space="preserve"> </w:t>
      </w:r>
      <w:r>
        <w:t xml:space="preserve">in its environment (until an even larger stress, like a very high field or current, is applied to break it).</w:t>
      </w:r>
    </w:p>
    <w:p>
      <w:pPr>
        <w:pStyle w:val="FirstParagraph"/>
      </w:pPr>
      <w:r>
        <w:t xml:space="preserve">Crucially, this framework appears to be</w:t>
      </w:r>
      <w:r>
        <w:t xml:space="preserve"> </w:t>
      </w:r>
      <w:r>
        <w:rPr>
          <w:b/>
          <w:bCs/>
        </w:rPr>
        <w:t xml:space="preserve">universal</w:t>
      </w:r>
      <w:r>
        <w:t xml:space="preserve"> </w:t>
      </w:r>
      <w:r>
        <w:t xml:space="preserve">across similar materials and consistent across observables, pointing to a genuine physical principle at work rather than an experimental quirk. By examining HTSC through the adaptonic lens, we gain a unifying insight: the phenomena of strange metals, pseudogap, and superconductivity are not disparate puzzles, but stages of an adaptive journey of the electronic system under cooling – with magnetoresistance (β&lt;sub&gt;H&lt;/sub&gt;) serving as a diagnostic of that journey’s progress and integrity.</w:t>
      </w:r>
    </w:p>
    <w:p>
      <w:pPr>
        <w:pStyle w:val="BodyText"/>
      </w:pPr>
      <w:r>
        <w:t xml:space="preserve">Finally, by integrating Claude’s and others’ critiques into our methodology and interpretation, we have ensured that this adaptonic theory is not just appealing qualitatively but is backed by</w:t>
      </w:r>
      <w:r>
        <w:t xml:space="preserve"> </w:t>
      </w:r>
      <w:r>
        <w:rPr>
          <w:b/>
          <w:bCs/>
        </w:rPr>
        <w:t xml:space="preserve">rigorous, transparent analysis</w:t>
      </w:r>
      <w:r>
        <w:t xml:space="preserve">. The theory remains open to further testing and refinement – for instance, exploring the “entropy” conjugate (Θ) formalism, or applying these ideas to other complex superconductors – but it stands now as a comprehensive single-document account of how an adaptive systems approach can illuminate one of physics’ most enduring mysteries: high-temperature superconductivity.</w:t>
      </w:r>
    </w:p>
    <w:p>
      <w:pPr>
        <w:pStyle w:val="BodyText"/>
      </w:pPr>
      <w:r>
        <w:t xml:space="preserve">We invite the community to view HTSC through this new frame, and to stress-test our framework further. In true adaptive spirit, each challenge will only help refine the understanding of these remarkable materials.</w:t>
      </w:r>
      <w:r>
        <w:t xml:space="preserve"> </w:t>
      </w:r>
      <w:hyperlink r:id="rId22">
        <w:r>
          <w:rPr>
            <w:rStyle w:val="Hyperlink"/>
          </w:rPr>
          <w:t xml:space="preserve">[2]</w:t>
        </w:r>
      </w:hyperlink>
      <w:hyperlink r:id="rId27">
        <w:r>
          <w:rPr>
            <w:rStyle w:val="Hyperlink"/>
          </w:rPr>
          <w:t xml:space="preserve">[6]</w:t>
        </w:r>
      </w:hyperlink>
    </w:p>
    <w:bookmarkEnd w:id="32"/>
    <w:bookmarkEnd w:id="33"/>
    <w:bookmarkEnd w:id="34"/>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Ontogenesis_Conceptual_Foundations_FINAL_FULL_CLEAN.pdf</w:t>
      </w:r>
    </w:p>
    <w:p>
      <w:pPr>
        <w:pStyle w:val="BodyText"/>
      </w:pPr>
      <w:hyperlink r:id="rId35">
        <w:r>
          <w:rPr>
            <w:rStyle w:val="Hyperlink"/>
          </w:rPr>
          <w:t xml:space="preserve">file://file-7v96Y5WooCWGuscXvhi9hP</w:t>
        </w:r>
      </w:hyperlink>
    </w:p>
    <w:p>
      <w:pPr>
        <w:pStyle w:val="BodyText"/>
      </w:pPr>
      <w:hyperlink r:id="rId27">
        <w:r>
          <w:rPr>
            <w:rStyle w:val="Hyperlink"/>
          </w:rPr>
          <w:t xml:space="preserve">[6]</w:t>
        </w:r>
      </w:hyperlink>
      <w:r>
        <w:t xml:space="preserve"> </w:t>
      </w:r>
      <w:r>
        <w:t xml:space="preserve">In-Plane Magnetoresistance Obeys Kohler's Rule in the Pseudogap Phase of Cuprate Superconductors | Phys. Rev. Lett.</w:t>
      </w:r>
    </w:p>
    <w:p>
      <w:pPr>
        <w:pStyle w:val="BodyText"/>
      </w:pPr>
      <w:hyperlink r:id="rId36">
        <w:r>
          <w:rPr>
            <w:rStyle w:val="Hyperlink"/>
          </w:rPr>
          <w:t xml:space="preserve">https://journals.aps.org/prl/abstract/10.1103/PhysRevLett.113.177005</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file://file-7v96Y5WooCWGuscXvhi9hP" TargetMode="External" /><Relationship Type="http://schemas.openxmlformats.org/officeDocument/2006/relationships/hyperlink" Id="rId22" Target="file://file-7v96Y5WooCWGuscXvhi9hP#:~:text=1" TargetMode="External" /><Relationship Type="http://schemas.openxmlformats.org/officeDocument/2006/relationships/hyperlink" Id="rId23" Target="file://file-7v96Y5WooCWGuscXvhi9hP#:~:text=2" TargetMode="External" /><Relationship Type="http://schemas.openxmlformats.org/officeDocument/2006/relationships/hyperlink" Id="rId24" Target="file://file-7v96Y5WooCWGuscXvhi9hP#:~:text=3" TargetMode="External" /><Relationship Type="http://schemas.openxmlformats.org/officeDocument/2006/relationships/hyperlink" Id="rId25" Target="file://file-7v96Y5WooCWGuscXvhi9hP#:~:text=5" TargetMode="External" /><Relationship Type="http://schemas.openxmlformats.org/officeDocument/2006/relationships/hyperlink" Id="rId21" Target="file://file-7v96Y5WooCWGuscXvhi9hP#:~:text=persistent%20systems%20%E2%80%94%20adaptonics%20,2025" TargetMode="External" /><Relationship Type="http://schemas.openxmlformats.org/officeDocument/2006/relationships/hyperlink" Id="rId36" Target="https://journals.aps.org/prl/abstract/10.1103/PhysRevLett.113.177005" TargetMode="External" /><Relationship Type="http://schemas.openxmlformats.org/officeDocument/2006/relationships/hyperlink" Id="rId27" Target="https://journals.aps.org/prl/abstract/10.1103/PhysRevLett.113.177005#:~:text=We%20report%20in,symmetry%20or%20strong%20disorder%20effects" TargetMode="External" /></Relationships>
</file>

<file path=word/_rels/footnotes.xml.rels><?xml version="1.0" encoding="UTF-8"?><Relationships xmlns="http://schemas.openxmlformats.org/package/2006/relationships"><Relationship Type="http://schemas.openxmlformats.org/officeDocument/2006/relationships/hyperlink" Id="rId35" Target="file://file-7v96Y5WooCWGuscXvhi9hP" TargetMode="External" /><Relationship Type="http://schemas.openxmlformats.org/officeDocument/2006/relationships/hyperlink" Id="rId22" Target="file://file-7v96Y5WooCWGuscXvhi9hP#:~:text=1" TargetMode="External" /><Relationship Type="http://schemas.openxmlformats.org/officeDocument/2006/relationships/hyperlink" Id="rId23" Target="file://file-7v96Y5WooCWGuscXvhi9hP#:~:text=2" TargetMode="External" /><Relationship Type="http://schemas.openxmlformats.org/officeDocument/2006/relationships/hyperlink" Id="rId24" Target="file://file-7v96Y5WooCWGuscXvhi9hP#:~:text=3" TargetMode="External" /><Relationship Type="http://schemas.openxmlformats.org/officeDocument/2006/relationships/hyperlink" Id="rId25" Target="file://file-7v96Y5WooCWGuscXvhi9hP#:~:text=5" TargetMode="External" /><Relationship Type="http://schemas.openxmlformats.org/officeDocument/2006/relationships/hyperlink" Id="rId21" Target="file://file-7v96Y5WooCWGuscXvhi9hP#:~:text=persistent%20systems%20%E2%80%94%20adaptonics%20,2025" TargetMode="External" /><Relationship Type="http://schemas.openxmlformats.org/officeDocument/2006/relationships/hyperlink" Id="rId36" Target="https://journals.aps.org/prl/abstract/10.1103/PhysRevLett.113.177005" TargetMode="External" /><Relationship Type="http://schemas.openxmlformats.org/officeDocument/2006/relationships/hyperlink" Id="rId27" Target="https://journals.aps.org/prl/abstract/10.1103/PhysRevLett.113.177005#:~:text=We%20report%20in,symmetry%20or%20strong%20disorder%20eff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2025-11-04T19:50:51Z</dcterms:created>
  <dcterms:modified xsi:type="dcterms:W3CDTF">2025-11-04T19:50:51Z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