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γ-field correction patch (viscosity) — Apply 1:1</w:t>
      </w:r>
    </w:p>
    <w:p>
      <w:r>
        <w:t>Use the following exact 1:1 replacements across your source: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Find</w:t>
            </w:r>
          </w:p>
        </w:tc>
        <w:tc>
          <w:tcPr>
            <w:tcW w:type="dxa" w:w="4320"/>
          </w:tcPr>
          <w:p>
            <w:r>
              <w:t>Replace with</w:t>
            </w:r>
          </w:p>
        </w:tc>
      </w:tr>
      <w:tr>
        <w:tc>
          <w:tcPr>
            <w:tcW w:type="dxa" w:w="4320"/>
          </w:tcPr>
          <w:p>
            <w:r>
              <w:t>(semantic gradient)</w:t>
            </w:r>
          </w:p>
        </w:tc>
        <w:tc>
          <w:tcPr>
            <w:tcW w:type="dxa" w:w="4320"/>
          </w:tcPr>
          <w:p>
            <w:r>
              <w:t>(viscosity field)</w:t>
            </w:r>
          </w:p>
        </w:tc>
      </w:tr>
      <w:tr>
        <w:tc>
          <w:tcPr>
            <w:tcW w:type="dxa" w:w="4320"/>
          </w:tcPr>
          <w:p>
            <w:r>
              <w:t>(Semantic gradient)</w:t>
            </w:r>
          </w:p>
        </w:tc>
        <w:tc>
          <w:tcPr>
            <w:tcW w:type="dxa" w:w="4320"/>
          </w:tcPr>
          <w:p>
            <w:r>
              <w:t>(Viscosity field)</w:t>
            </w:r>
          </w:p>
        </w:tc>
      </w:tr>
      <w:tr>
        <w:tc>
          <w:tcPr>
            <w:tcW w:type="dxa" w:w="4320"/>
          </w:tcPr>
          <w:p>
            <w:r>
              <w:t>(SEMANTIC GRADIENT)</w:t>
            </w:r>
          </w:p>
        </w:tc>
        <w:tc>
          <w:tcPr>
            <w:tcW w:type="dxa" w:w="4320"/>
          </w:tcPr>
          <w:p>
            <w:r>
              <w:t>(VISCOSITY FIELD)</w:t>
            </w:r>
          </w:p>
        </w:tc>
      </w:tr>
      <w:tr>
        <w:tc>
          <w:tcPr>
            <w:tcW w:type="dxa" w:w="4320"/>
          </w:tcPr>
          <w:p>
            <w:r>
              <w:t>The γ parameter (semantic gradient) is introduced to generalize adaptonic principles to cognitive and informational domains, measuring the directional rate of change in a system’s internal semantics or interpretive state</w:t>
            </w:r>
          </w:p>
        </w:tc>
        <w:tc>
          <w:tcPr>
            <w:tcW w:type="dxa" w:w="4320"/>
          </w:tcPr>
          <w:p>
            <w:r>
              <w:t>The γ parameter (viscosity field) is introduced as a physical transport coefficient in the material–geometric sector, quantifying momentum diffusion and stress‑relaxation; it measures the medium’s resistance to shear/compression and the rate at which inhomogeneities in σ and Θ are smoothed</w:t>
            </w:r>
          </w:p>
        </w:tc>
      </w:tr>
    </w:tbl>
    <w:p>
      <w:r>
        <w:br/>
        <w:t>Additionally, replace standalone occurrences of “semantic gradient” with “viscosity field” (case-preserving), and ensure symbols use Unicode: σ, Θ, 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