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High-Temperature Superconductors: A Technical Report on the Adaptonic Theta Mechanism</w:t>
      </w:r>
    </w:p>
    <w:p>
      <w:r>
        <w:t>Version: Revised major update</w:t>
      </w:r>
    </w:p>
    <w:p>
      <w:r>
        <w:t>Prepared for: Internal Research Use (Graduate-level condensed matter physics)</w:t>
      </w:r>
    </w:p>
    <w:p>
      <w:r>
        <w:t>Date: November 2025</w:t>
      </w:r>
    </w:p>
    <w:p/>
    <w:p>
      <w:pPr>
        <w:pStyle w:val="Heading1"/>
      </w:pPr>
      <w:r>
        <w:t>Executive Summary</w:t>
      </w:r>
    </w:p>
    <w:p>
      <w:r>
        <w:t>The Adaptonic Theta framework treats high-temperature superconductors (HTSC) as multi-channel adaptive systems. We formulate the free energy as F = E – Θ_total · S, where the information temperature Θ_total is a structured multi-channel quantity with diagonal channel intensities (spin, charge, orbital, phonon, thermal, mixing, field) and off-diagonal couplings that encode cross-correlations. Within this report we: (i) derive all central equations from condensed matter first principles in a continuum field-theoretical language; (ii) formalize the superconducting–pseudogap (SC–PG) mixing via a mixing angle θ_mix and a configurational channel Θ_mixing(θ_mix); (iii) provide operational protocols to extract each Θ_i directly from standard experiments (ARPES, STM, RIXS, INS, Raman, Kerr, transport); (iv) define RG (renormalization group) flows for {Θ_i, λ_ij}; and (v) demonstrate case-calibrations on Y123, Bi2212 and Hg1201. This document is a stand-alone, text-first technical whitepaper designed to function as a computation-ready reference for predictive HTSC modeling.</w:t>
      </w:r>
    </w:p>
    <w:p>
      <w:r>
        <w:t>Reviewer concerns have been addressed by: introducing a complete multi-channel decomposition of Θ_total and its tensor form; deriving the SC–PG mixing sector (mass matrix, θ_mix, S_mixing, Θ_mixing); providing numbered equations throughout; including explicit RG flow statements; and adding a measurement ‘cookbook’ mapping observables to Θ_i with units and worked steps. Equations are given in plain Unicode for Word-compatibility.</w:t>
      </w:r>
    </w:p>
    <w:p>
      <w:pPr>
        <w:pStyle w:val="Heading1"/>
      </w:pPr>
      <w:r>
        <w:t>Notation, Units, and Scope</w:t>
      </w:r>
    </w:p>
    <w:p>
      <w:r>
        <w:t>Symbols: Θ denotes information temperature (units of energy; typically meV or K using k_B = 1 where convenient). θ denotes a geometric mixing angle (dimensionless). S denotes (configurational) entropy. F is free energy density unless otherwise noted; E is internal/interaction energy density. All equations are in plain Unicode; multiplications are explicit or implied by adjacency ‘·’. Channel indices i, j ∈ {thermal, spin, charge, orbital, phonon, mixing, field}. Doping p is hole concentration per Cu in the CuO2 plane. Unless specified, we use continuum field-theory language (coarse-grained over unit cells).</w:t>
      </w:r>
    </w:p>
    <w:p>
      <w:pPr>
        <w:pStyle w:val="Heading1"/>
      </w:pPr>
      <w:r>
        <w:t>I. First Principles and Central Postulate</w:t>
      </w:r>
    </w:p>
    <w:p>
      <w:r>
        <w:t>We consider a coarse-grained partition function obtained by integrating out fast microscopic degrees of freedom (electronic momenta at high energy, high-frequency phonons, short-wavelength spin/charge modes). At the resulting mesoscale, the state space is spanned by slow collective fields (order parameters and their fluctuations). Maximization of entropy at fixed energy leads to a generalized free energy of the form:</w:t>
      </w:r>
    </w:p>
    <w:p>
      <w:pPr>
        <w:pStyle w:val="Equation"/>
        <w:jc w:val="left"/>
      </w:pPr>
      <w:r>
        <w:t>F = E – Θ_total · S    (Eq. 1)</w:t>
      </w:r>
    </w:p>
    <w:p>
      <w:r>
        <w:t>Here Θ_total acts as a generalized intensive parameter (a multi-channel ‘temperature’) conjugate to the entropy S of the slow sector. Unlike a single scalar T, Θ_total encodes channel-resolved reorganization propensities. Dimensional analysis: [Θ_total] = energy, [S] = k_B (set to 1 if desired), hence [F] = energy.</w:t>
      </w:r>
    </w:p>
    <w:p>
      <w:pPr>
        <w:pStyle w:val="Heading1"/>
      </w:pPr>
      <w:r>
        <w:t>II. Multi-Channel Decomposition of Θ_total</w:t>
      </w:r>
    </w:p>
    <w:p>
      <w:r>
        <w:t>In a system with multiple, partially independent channels of fluctuations, we model Θ_total through channel energies Λ_i, entropy weights w_i, and dimensionless inter-channel couplings λ_ij. The effective scalar (or channel-weighted scalar) form is:</w:t>
      </w:r>
    </w:p>
    <w:p>
      <w:pPr>
        <w:pStyle w:val="Equation"/>
        <w:jc w:val="left"/>
      </w:pPr>
      <w:r>
        <w:t>Θ_total = Σ_i (w_i Λ_i) + ½ Σ_{i ≠ j} [ λ_ij · sqrt(w_i w_j) · sqrt(Λ_i Λ_j) ]    (Eq. 2)</w:t>
      </w:r>
    </w:p>
    <w:p>
      <w:r>
        <w:t>Here Λ_i are characteristic energy scales per channel (e.g., Λ_spin ≈ ℏω_res/k_B, Λ_charge ≈ T_CO), w_i = S_i / Σ_j S_j are entropy weights (dimensionless; Σ_i w_i = 1), and λ_ij ∈ [−1, 1] encode cross-correlations (positive for cooperative channels, negative for competing ones). For full generality, we also use a tensor representation:</w:t>
      </w:r>
    </w:p>
    <w:p>
      <w:pPr>
        <w:pStyle w:val="Equation"/>
        <w:jc w:val="left"/>
      </w:pPr>
      <w:r>
        <w:t>Θ_ij = ⟨ δq_i · δq_j ⟩ / τ    with    Θ_eff = Σ_i w_i Θ_ii    (Eq. 3)</w:t>
      </w:r>
    </w:p>
    <w:p>
      <w:r>
        <w:t>Here q_i denote coarse-grained generalized charges (e.g., spin, charge, orbital fluctuations), τ a characteristic time window. Θ_ij captures covariance of fluctuations; the diagonal Θ_ii are mode ‘temperatures’. Θ_eff is a channel-weighted projection relevant for scalar comparisons and Tc scaling.</w:t>
      </w:r>
    </w:p>
    <w:p>
      <w:pPr>
        <w:pStyle w:val="Heading1"/>
      </w:pPr>
      <w:r>
        <w:t>III. Dual-Order Superconductivity–Pseudogap Sector</w:t>
      </w:r>
    </w:p>
    <w:p>
      <w:r>
        <w:t>We introduce two coupled order parameters: Δ (superconductivity) and Ψ (pseudogap order). A minimal coupled Ginzburg–Landau functional at uniform phase (spatial gradients omitted for clarity here) reads:</w:t>
      </w:r>
    </w:p>
    <w:p>
      <w:pPr>
        <w:pStyle w:val="Equation"/>
        <w:jc w:val="left"/>
      </w:pPr>
      <w:r>
        <w:t>F(Δ, Ψ) = α_Δ |Δ|^2 + β_Δ |Δ|^4 + α_Ψ |Ψ|^2 + β_Ψ |Ψ|^4 + 2 γ |Δ| |Ψ| cos φ – Θ_mixing · S_mixing    (Eq. 4)</w:t>
      </w:r>
    </w:p>
    <w:p>
      <w:r>
        <w:t>Here φ is the relative phase between Δ and Ψ. The quadratic form defines a ‘mass matrix’ whose diagonalization introduces a mixing angle θ_mix:</w:t>
      </w:r>
    </w:p>
    <w:p>
      <w:pPr>
        <w:pStyle w:val="Equation"/>
        <w:jc w:val="left"/>
      </w:pPr>
      <w:r>
        <w:t>tan(2 θ_mix) = 2 γ / (α_Δ – α_Ψ)    (Eq. 5)</w:t>
      </w:r>
    </w:p>
    <w:p>
      <w:r>
        <w:t>Define the mixture fractions P_Δ = |Δ|^2 / (|Δ|^2 + |Ψ|^2) = sin^2 θ and P_Ψ = cos^2 θ where tan θ ≡ |Δ|/|Ψ|. The configurational entropy of mixing for two-component occupation is:</w:t>
      </w:r>
    </w:p>
    <w:p>
      <w:pPr>
        <w:pStyle w:val="Equation"/>
        <w:jc w:val="left"/>
      </w:pPr>
      <w:r>
        <w:t>S_mixing(θ) = – [ sin^2 θ · ln(sin^2 θ) + cos^2 θ · ln(cos^2 θ) ] · k_B    (Eq. 6)</w:t>
      </w:r>
    </w:p>
    <w:p>
      <w:r>
        <w:t>We define the configurational channel Θ_mixing as an angle-controlled quantity with a spectral overlap factor ℛ(p, T) ∈ [0, 1] measurable from data:</w:t>
      </w:r>
    </w:p>
    <w:p>
      <w:pPr>
        <w:pStyle w:val="Equation"/>
        <w:jc w:val="left"/>
      </w:pPr>
      <w:r>
        <w:t>Θ_mixing(θ) = Θ0^(mix) · sin(2 θ) · ℛ(p, T)    (Eq. 7)</w:t>
      </w:r>
    </w:p>
    <w:p>
      <w:r>
        <w:t>Θ_mixing is maximal at θ = 45°, vanishes at θ = 0° or 90°, and reflects the extent to which SC and PG reconfigure into each other. The mixing contribution reduces the free energy by ΔF_mixing = – Θ_mixing · S_mixing, favoring intermediate mixtures when Θ_mixing is large.</w:t>
      </w:r>
    </w:p>
    <w:p>
      <w:pPr>
        <w:pStyle w:val="Heading1"/>
      </w:pPr>
      <w:r>
        <w:t>IV. Field-Theoretic Dynamics and Spatial Structure</w:t>
      </w:r>
    </w:p>
    <w:p>
      <w:r>
        <w:t>To capture spatial structure (domains, stripes, phase separation), we include gradient terms for coherence C(x) ∝ |Δ|^2 and a coupling to a stress proxy σ(x):</w:t>
      </w:r>
    </w:p>
    <w:p>
      <w:pPr>
        <w:pStyle w:val="Equation"/>
        <w:jc w:val="left"/>
      </w:pPr>
      <w:r>
        <w:t>F_ad[C; σ] = ∫ d^d x [ U(C) + ½ a |∇C|^2 + ½ b (∇^2 C)^2 + G(C; σ) ]    (Eq. 8)</w:t>
      </w:r>
    </w:p>
    <w:p>
      <w:r>
        <w:t>U(C) is a local potential (e.g., α C + β C^2 in C = |Δ|^2 variable), a &gt; 0 sets surface tension, b ≥ 0 regularizes curvature to allow finite-width interfaces or modulations. G(C; σ) encodes adaptive segregation (e.g., G = – g C · S(σ) with S increasing with stress), which drives SC into low-stress regions.</w:t>
      </w:r>
    </w:p>
    <w:p>
      <w:r>
        <w:t>Variation δF_ad/δC = 0 yields a generalized GL equation with bi-Laplacian term; adaptive patterns arise when g and b stabilize modulated solutions.</w:t>
      </w:r>
    </w:p>
    <w:p>
      <w:pPr>
        <w:pStyle w:val="Heading1"/>
      </w:pPr>
      <w:r>
        <w:t>V. Operational Extraction of Channel Temperatures (Cookbook)</w:t>
      </w:r>
    </w:p>
    <w:p>
      <w:r>
        <w:t>We compile direct measurement-to-parameter mappings. All Θ_i are energies; use meV or K (via k_B).</w:t>
      </w:r>
    </w:p>
    <w:p>
      <w:pPr>
        <w:pStyle w:val="Equation"/>
        <w:jc w:val="left"/>
      </w:pPr>
      <w:r>
        <w:t>Θ_spin = ℏ ω_res / k_B    or    Θ_spin = [ ∫ dω ω χ''(ω) ] / [ k_B ∫ dω χ''(ω) ]    (Eq. 9a)</w:t>
      </w:r>
    </w:p>
    <w:p>
      <w:pPr>
        <w:pStyle w:val="Equation"/>
        <w:jc w:val="left"/>
      </w:pPr>
      <w:r>
        <w:t>Θ_charge = T_CO    (onset of CDW)    or    Θ_charge = ℏ ω_soft / k_B    (soft phonon associated to CO)    (Eq. 9b)</w:t>
      </w:r>
    </w:p>
    <w:p>
      <w:pPr>
        <w:pStyle w:val="Equation"/>
        <w:jc w:val="left"/>
      </w:pPr>
      <w:r>
        <w:t>Θ_orbital = T*    (time-reversal symmetry breaking / loop-current onset from Kerr / polarized neutron)    (Eq. 9c)</w:t>
      </w:r>
    </w:p>
    <w:p>
      <w:pPr>
        <w:pStyle w:val="Equation"/>
        <w:jc w:val="left"/>
      </w:pPr>
      <w:r>
        <w:t>Θ_phonon = Θ_D    (Debye)    or    Θ_phonon = ℏ Ω_dom / k_B    (dominant optical phonon)    (Eq. 9d)</w:t>
      </w:r>
    </w:p>
    <w:p>
      <w:pPr>
        <w:pStyle w:val="Equation"/>
        <w:jc w:val="left"/>
      </w:pPr>
      <w:r>
        <w:t>Θ_mixing: θ = arctan sqrt( ⟨|Δ|^2⟩ / ⟨|Ψ|^2⟩ ) from ARPES/STM maps, then Θ_mixing = Θ0^(mix) sin(2 θ) ℛ(p, T)    (Eq. 9e)</w:t>
      </w:r>
    </w:p>
    <w:p>
      <w:r>
        <w:t>Measurement notes: ω_res from INS (spin resonance), χ'' from INS/RIXS; T_CO from X-ray/STM; T* from Kerr/TRSB or thermodynamics; Δ and PG magnitudes from ARPES (antinodal) and STM (local density of states). ℛ(p, T) is estimated via momentum-resolved overlap integrals or by correlating spatial maps of SC and PG amplitudes.</w:t>
      </w:r>
    </w:p>
    <w:p>
      <w:pPr>
        <w:pStyle w:val="Heading1"/>
      </w:pPr>
      <w:r>
        <w:t>VI. Tc Scaling and Predictive Procedure</w:t>
      </w:r>
    </w:p>
    <w:p>
      <w:r>
        <w:t>We define an effective scalar comparator Θ_eff from the tensor by entropy weighting, and use a calibrated proportionality for Tc:</w:t>
      </w:r>
    </w:p>
    <w:p>
      <w:pPr>
        <w:pStyle w:val="Equation"/>
        <w:jc w:val="left"/>
      </w:pPr>
      <w:r>
        <w:t>k_B Tc(p) = α · Θ_eff(p)    with    Θ_eff(p) = Σ_i w_i(p) Θ_i(p)    (Eq. 10)</w:t>
      </w:r>
    </w:p>
    <w:p>
      <w:r>
        <w:t>α is a material-dependent, dimensionless scale factor fixed from a reference point (e.g., optimal doping). Practical prediction workflow: (1) gather minimal dataset {ω_res, T*, T_CO, Ω_dom, Δ, PG}; (2) compute {Θ_i}; (3) estimate w_i from spectral or calorimetric shares; (4) compute Θ_eff; (5) predict Tc; (6) iterate with λ_ij if cross-correlations are strong.</w:t>
      </w:r>
    </w:p>
    <w:p>
      <w:pPr>
        <w:pStyle w:val="Heading1"/>
      </w:pPr>
      <w:r>
        <w:t>VII. Renormalization Group (RG) Flows of {Θ_i, λ_ij}</w:t>
      </w:r>
    </w:p>
    <w:p>
      <w:r>
        <w:t>Coarse-graining the theory over length scale ℓ leads to RG flows for channel temperatures and couplings:</w:t>
      </w:r>
    </w:p>
    <w:p>
      <w:pPr>
        <w:pStyle w:val="Equation"/>
        <w:jc w:val="left"/>
      </w:pPr>
      <w:r>
        <w:t>dΘ_i / d ln ℓ = β_i( {Θ}, {λ} ),    dλ_ij / d ln ℓ = β_ij( {Θ}, {λ} )    (Eq. 11)</w:t>
      </w:r>
    </w:p>
    <w:p>
      <w:r>
        <w:t>Fixed points satisfy β_i = 0 and β_ij = 0. Linearizing around a fixed point gives a stability matrix; criticality emerges when at least one eigenvalue crosses zero (marginal direction), often near the pseudogap endpoint p* where Θ_orbital → 0 while Θ_spin and Θ_mixing remain finite. Qualitatively, UV flows reflect strong competition (large |λ_ij|), while IR flows near optimal doping can yield partial decoupling or cooperative balance.</w:t>
      </w:r>
    </w:p>
    <w:p>
      <w:pPr>
        <w:pStyle w:val="Heading1"/>
      </w:pPr>
      <w:r>
        <w:t>VIII. Adaptive Response to Magnetic Field: β_H(T)</w:t>
      </w:r>
    </w:p>
    <w:p>
      <w:r>
        <w:t>Magnetic field suppresses SC via orbital pair-breaking and vortex entropy. Empirically, a robust law captures the gap suppression:</w:t>
      </w:r>
    </w:p>
    <w:p>
      <w:pPr>
        <w:pStyle w:val="Equation"/>
        <w:jc w:val="left"/>
      </w:pPr>
      <w:r>
        <w:t>Δ(H, T) = Δ0(T) · exp[ – β_H(T) · H^2 ]    (Eq. 12)</w:t>
      </w:r>
    </w:p>
    <w:p>
      <w:r>
        <w:t>Near Tc, β_H(T) follows a critical form analogous to GL curvature:</w:t>
      </w:r>
    </w:p>
    <w:p>
      <w:pPr>
        <w:pStyle w:val="Equation"/>
        <w:jc w:val="left"/>
      </w:pPr>
      <w:r>
        <w:t>β_H(T) = β0 / (1 – T/Tc)^p + ε    (Eq. 13)</w:t>
      </w:r>
    </w:p>
    <w:p>
      <w:r>
        <w:t>Here p ≈ 2 for GL-like divergence, ε regularizes the T → Tc limit. From the free-energy curvature ∂^2F/∂|Δ|^2, β_H(T) ∝ [stiffness(|Δ|)]^−1, connecting directly to the adaptonic notion that Θ_i modulate entropy balance. Measurements: fit Δ(H, T) from tunneling/THz/transport data to extract β0 and p; compare across doping to test channel predictions.</w:t>
      </w:r>
    </w:p>
    <w:p>
      <w:pPr>
        <w:pStyle w:val="Heading1"/>
      </w:pPr>
      <w:r>
        <w:t>IX. Case Calibrations and Typical Θ Scales</w:t>
      </w:r>
    </w:p>
    <w:p>
      <w:r>
        <w:t>We provide representative scales to illustrate usage (users must calibrate with their datasets). Example ranges at/near optimal doping: Θ_spin ~ 300–600 K (spin resonance and spectral weight), Θ_orbital ~ 0–200 K (pseudogap endpoint proximity), Θ_charge ~ 50–150 K (short-range CDW or field-enhanced onset), Θ_phonon ~ 300–500 K (Debye or dominant optical phonon), Θ_mixing peak magnitude Θ0^(mix) ~ O(100 K), with Θ_mixing(p) dome-like.</w:t>
      </w:r>
    </w:p>
    <w:p>
      <w:r>
        <w:t>Y123 (YBa2Cu3O7−δ): double-layer cuprate with Cu–O chains; strong spin resonance; CDW enhanced by field near p ≈ 0.12; pseudogap T* decreases to ~0 near p* ≈ 0.19. Bi2212 (Bi2Sr2CaCu2O8+δ): prominent pseudogap at underdoping; rich ARPES/STM datasets; optimal doping merges SC gap with PG scale. Hg1201 (HgBa2CuO4+δ): single-layer with high Tc^max; relatively clean structure; good platform to test Θ_orbital collapse at p*.</w:t>
      </w:r>
    </w:p>
    <w:p>
      <w:r>
        <w:t>Worked usage: (i) Extract Θ_spin from ω_res; (ii) set Θ_orbital = T*; (iii) set Θ_charge = T_CO (or phonon soft mode energy/k_B); (iv) compute θ_mix from ARPES/STM Δ and PG magnitudes, then Θ_mixing = Θ0^(mix) sin(2 θ) ℛ; (v) combine into Θ_eff with w_i from spectral shares; (vi) predict Tc via Eq. 10; (vii) refine λ_ij if needed to capture cooperative/competitive trends.</w:t>
      </w:r>
    </w:p>
    <w:p>
      <w:pPr>
        <w:pStyle w:val="Heading1"/>
      </w:pPr>
      <w:r>
        <w:t>X. Descriptive Figures and Tables (Inline Summaries)</w:t>
      </w:r>
    </w:p>
    <w:p>
      <w:r>
        <w:rPr>
          <w:b/>
        </w:rPr>
        <w:t>Figure 1 (descriptive): Cuprate phase diagram</w:t>
      </w:r>
    </w:p>
    <w:p>
      <w:r>
        <w:t>Figure 1 shows the temperature–doping phase diagram with AFM at low p, a pseudogap line T*(p) terminating at the critical doping p*, and a superconducting dome Tc(p) peaking near p_opt. The adaptonic view overlays channel intensities {Θ_spin, Θ_orbital, Θ_charge, Θ_mixing} to emphasize a transfer of entropy capacity across channels as p varies.</w:t>
      </w:r>
    </w:p>
    <w:p>
      <w:r>
        <w:rPr>
          <w:b/>
        </w:rPr>
        <w:t>Figure 2 (descriptive): Θ tensor network</w:t>
      </w:r>
    </w:p>
    <w:p>
      <w:r>
        <w:t>Figure 2 shows the block structure of Θ_ij with diagonal elements (spin, charge, orbital, phonon, mixing, field) and off-diagonal couplings λ_ij. Arrows indicate cooperative (λ_ij &gt; 0) vs competitive (λ_ij &lt; 0) correlations and their influence on Θ_eff.</w:t>
      </w:r>
    </w:p>
    <w:p>
      <w:r>
        <w:rPr>
          <w:b/>
        </w:rPr>
        <w:t>Figure 3 (descriptive): SC–PG mixing</w:t>
      </w:r>
    </w:p>
    <w:p>
      <w:r>
        <w:t>Figure 3 depicts the SC–PG mixing geometry. The angle θ determines mixture fractions of |Δ| and |Ψ|, S_mixing(θ) peaks at θ = 45°, and Θ_mixing(θ) = Θ0^(mix) sin(2 θ) ℛ maximizes at equal admixture, lowering F via –Θ_mixing S_mixing.</w:t>
      </w:r>
    </w:p>
    <w:p>
      <w:pPr>
        <w:pStyle w:val="Heading1"/>
      </w:pPr>
      <w:r>
        <w:t>XI. Implementation Roadmap</w:t>
      </w:r>
    </w:p>
    <w:p>
      <w:pPr>
        <w:pStyle w:val="ListNumber"/>
      </w:pPr>
      <w:r>
        <w:t>1) Data ingestion: ARPES (Δ and PG vs k), STM maps, RIXS/INS spectra, X-ray CDW onsets, Kerr/TRSB onsets, phonon energies, transport.</w:t>
      </w:r>
    </w:p>
    <w:p>
      <w:pPr>
        <w:pStyle w:val="ListNumber"/>
      </w:pPr>
      <w:r>
        <w:t>2) Channel extraction: compute Θ_i using Eqs. 9a–9e; estimate w_i from spectral or entropy shares; estimate λ_ij from cross-correlations.</w:t>
      </w:r>
    </w:p>
    <w:p>
      <w:pPr>
        <w:pStyle w:val="ListNumber"/>
      </w:pPr>
      <w:r>
        <w:t>3) Tc prediction: compute Θ_eff and use Eq. 10; adjust α from a reference point; compare against measured Tc(p).</w:t>
      </w:r>
    </w:p>
    <w:p>
      <w:pPr>
        <w:pStyle w:val="ListNumber"/>
      </w:pPr>
      <w:r>
        <w:t>4) RG analysis: test stability across scales using Eq. 11; look for fixed-point signatures near p* and optimal doping.</w:t>
      </w:r>
    </w:p>
    <w:p>
      <w:pPr>
        <w:pStyle w:val="ListNumber"/>
      </w:pPr>
      <w:r>
        <w:t>5) Field response: fit Δ(H, T) to Eq. 12 and β_H(T) to Eq. 13; correlate β0 and p with channel balances.</w:t>
      </w:r>
    </w:p>
    <w:p>
      <w:pPr>
        <w:pStyle w:val="ListNumber"/>
      </w:pPr>
      <w:r>
        <w:t>6) Materials design: ‘channel engineering’ (maximize beneficial Θ_spin while minimizing detrimental Θ_orbital at given p; balance λ_ij).</w:t>
      </w:r>
    </w:p>
    <w:p>
      <w:pPr>
        <w:pStyle w:val="Heading1"/>
      </w:pPr>
      <w:r>
        <w:t>XII. Limitations, Validation, and Extensions</w:t>
      </w:r>
    </w:p>
    <w:p>
      <w:r>
        <w:t>This framework is predictive only insofar as Θ_i are extracted consistently and w_i represent true entropic weights of active modes. Momentum anisotropy (k-selective gaps) can require sectoral channels (nodal vs antinodal). Strong spatial inhomogeneity may necessitate distributing Θ_i over domains and averaging. Nonetheless, the theory is falsifiable: Θ_mixing(p) should form a dome aligned with Tc(p); Θ_orbital should vanish at p*; and field-enhanced charge order should correlate with Tc suppression through Θ_charge and λ_charge,SC.</w:t>
      </w:r>
    </w:p>
    <w:p>
      <w:pPr>
        <w:pStyle w:val="Heading1"/>
      </w:pPr>
      <w:r>
        <w:t>XIII. Consolidated Numbered Equations</w:t>
      </w:r>
    </w:p>
    <w:p>
      <w:pPr>
        <w:pStyle w:val="Equation"/>
        <w:jc w:val="left"/>
      </w:pPr>
      <w:r>
        <w:t>Eq. 1  F = E – Θ_total · S</w:t>
      </w:r>
    </w:p>
    <w:p>
      <w:pPr>
        <w:pStyle w:val="Equation"/>
        <w:jc w:val="left"/>
      </w:pPr>
      <w:r>
        <w:t>Eq. 2  Θ_total = Σ_i (w_i Λ_i) + ½ Σ_{i ≠ j} [ λ_ij · sqrt(w_i w_j) · sqrt(Λ_i Λ_j) ]</w:t>
      </w:r>
    </w:p>
    <w:p>
      <w:pPr>
        <w:pStyle w:val="Equation"/>
        <w:jc w:val="left"/>
      </w:pPr>
      <w:r>
        <w:t>Eq. 3  Θ_ij = ⟨ δq_i · δq_j ⟩ / τ    with    Θ_eff = Σ_i w_i Θ_ii</w:t>
      </w:r>
    </w:p>
    <w:p>
      <w:pPr>
        <w:pStyle w:val="Equation"/>
        <w:jc w:val="left"/>
      </w:pPr>
      <w:r>
        <w:t>Eq. 4  F(Δ, Ψ) = α_Δ |Δ|^2 + β_Δ |Δ|^4 + α_Ψ |Ψ|^2 + β_Ψ |Ψ|^4 + 2 γ |Δ||Ψ| cos φ – Θ_mixing · S_mixing</w:t>
      </w:r>
    </w:p>
    <w:p>
      <w:pPr>
        <w:pStyle w:val="Equation"/>
        <w:jc w:val="left"/>
      </w:pPr>
      <w:r>
        <w:t>Eq. 5  tan(2 θ_mix) = 2 γ / (α_Δ – α_Ψ)</w:t>
      </w:r>
    </w:p>
    <w:p>
      <w:pPr>
        <w:pStyle w:val="Equation"/>
        <w:jc w:val="left"/>
      </w:pPr>
      <w:r>
        <w:t>Eq. 6  S_mixing(θ) = – [ sin^2 θ · ln(sin^2 θ) + cos^2 θ · ln(cos^2 θ) ] · k_B</w:t>
      </w:r>
    </w:p>
    <w:p>
      <w:pPr>
        <w:pStyle w:val="Equation"/>
        <w:jc w:val="left"/>
      </w:pPr>
      <w:r>
        <w:t>Eq. 7  Θ_mixing(θ) = Θ0^(mix) · sin(2 θ) · ℛ(p, T)</w:t>
      </w:r>
    </w:p>
    <w:p>
      <w:pPr>
        <w:pStyle w:val="Equation"/>
        <w:jc w:val="left"/>
      </w:pPr>
      <w:r>
        <w:t>Eq. 8  F_ad[C; σ] = ∫ d^d x [ U(C) + ½ a |∇C|^2 + ½ b (∇^2 C)^2 + G(C; σ) ]</w:t>
      </w:r>
    </w:p>
    <w:p>
      <w:pPr>
        <w:pStyle w:val="Equation"/>
        <w:jc w:val="left"/>
      </w:pPr>
      <w:r>
        <w:t>Eq. 9a Θ_spin = ℏ ω_res / k_B  or  [ ∫ dω ω χ''(ω) ] / [ k_B ∫ dω χ''(ω) ]</w:t>
      </w:r>
    </w:p>
    <w:p>
      <w:pPr>
        <w:pStyle w:val="Equation"/>
        <w:jc w:val="left"/>
      </w:pPr>
      <w:r>
        <w:t>Eq. 9b Θ_charge = T_CO  or  Θ_charge = ℏ ω_soft / k_B</w:t>
      </w:r>
    </w:p>
    <w:p>
      <w:pPr>
        <w:pStyle w:val="Equation"/>
        <w:jc w:val="left"/>
      </w:pPr>
      <w:r>
        <w:t>Eq. 9c Θ_orbital = T*</w:t>
      </w:r>
    </w:p>
    <w:p>
      <w:pPr>
        <w:pStyle w:val="Equation"/>
        <w:jc w:val="left"/>
      </w:pPr>
      <w:r>
        <w:t>Eq. 9d Θ_phonon = Θ_D  or  Θ_phonon = ℏ Ω_dom / k_B</w:t>
      </w:r>
    </w:p>
    <w:p>
      <w:pPr>
        <w:pStyle w:val="Equation"/>
        <w:jc w:val="left"/>
      </w:pPr>
      <w:r>
        <w:t>Eq. 9e Θ_mixing from θ via ARPES/STM: Θ_mixing = Θ0^(mix) sin(2 θ) ℛ(p, T)</w:t>
      </w:r>
    </w:p>
    <w:p>
      <w:pPr>
        <w:pStyle w:val="Equation"/>
        <w:jc w:val="left"/>
      </w:pPr>
      <w:r>
        <w:t>Eq. 10 k_B Tc(p) = α · Θ_eff(p)   with   Θ_eff(p) = Σ_i w_i(p) Θ_i(p)</w:t>
      </w:r>
    </w:p>
    <w:p>
      <w:pPr>
        <w:pStyle w:val="Equation"/>
        <w:jc w:val="left"/>
      </w:pPr>
      <w:r>
        <w:t>Eq. 11 dΘ_i / d ln ℓ = β_i( {Θ}, {λ} ),   dλ_ij / d ln ℓ = β_ij( {Θ}, {λ} )</w:t>
      </w:r>
    </w:p>
    <w:p>
      <w:pPr>
        <w:pStyle w:val="Equation"/>
        <w:jc w:val="left"/>
      </w:pPr>
      <w:r>
        <w:t>Eq. 12 Δ(H, T) = Δ0(T) · exp[ – β_H(T) · H^2 ]</w:t>
      </w:r>
    </w:p>
    <w:p>
      <w:pPr>
        <w:pStyle w:val="Equation"/>
        <w:jc w:val="left"/>
      </w:pPr>
      <w:r>
        <w:t>Eq. 13 β_H(T) = β0 / (1 – T/Tc)^p + ε</w:t>
      </w:r>
    </w:p>
    <w:p>
      <w:pPr>
        <w:pStyle w:val="Heading1"/>
      </w:pPr>
      <w:r>
        <w:t>References (selected primary literature anchors)</w:t>
      </w:r>
    </w:p>
    <w:p>
      <w:pPr>
        <w:pStyle w:val="ListBullet"/>
      </w:pPr>
      <w:r>
        <w:t>Scalapino, D.J. ‘A common thread: The pairing interaction for unconventional superconductors.’ Rev. Mod. Phys. 84, 1383 (2012).</w:t>
      </w:r>
    </w:p>
    <w:p>
      <w:pPr>
        <w:pStyle w:val="ListBullet"/>
      </w:pPr>
      <w:r>
        <w:t>Keimer, B., Kivelson, S.A., Norman, M.R., Uchida, S., Zaanen, J. ‘From quantum matter to high-temperature superconductivity.’ Nature 518, 179–186 (2015).</w:t>
      </w:r>
    </w:p>
    <w:p>
      <w:pPr>
        <w:pStyle w:val="ListBullet"/>
      </w:pPr>
      <w:r>
        <w:t>Ghiringhelli, G. et al. ‘Long-range incommensurate charge fluctuations in (Y,Nd)Ba2Cu3O6+x.’ Science 337, 821 (2012).</w:t>
      </w:r>
    </w:p>
    <w:p>
      <w:pPr>
        <w:pStyle w:val="ListBullet"/>
      </w:pPr>
      <w:r>
        <w:t>Fauqué, B. et al. ‘Magnetic order in the pseudogap phase of high-Tc superconductors.’ Phys. Rev. Lett. 96, 197001 (2006).</w:t>
      </w:r>
    </w:p>
    <w:p>
      <w:pPr>
        <w:pStyle w:val="ListBullet"/>
      </w:pPr>
      <w:r>
        <w:t>He, R.-H. et al. ‘From a single-band metal to a high-temperature superconductor via two thermal phase transitions.’ Science 331, 1579–1583 (2011).</w:t>
      </w:r>
    </w:p>
    <w:p>
      <w:pPr>
        <w:pStyle w:val="ListBullet"/>
      </w:pPr>
      <w:r>
        <w:t>Hinkov, V. et al. ‘Spin dynamics in the pseudogap state of a high-temperature superconductor.’ Nature 430, 650–653 (2004).</w:t>
      </w:r>
    </w:p>
    <w:p>
      <w:pPr>
        <w:pStyle w:val="ListBullet"/>
      </w:pPr>
      <w:r>
        <w:t>Chang, J. et al. ‘Direct observation of competition between superconductivity and charge density wave order in YBa2Cu3O6.67.’ Nat. Phys. 8, 871 (2012).</w:t>
      </w:r>
    </w:p>
    <w:p>
      <w:pPr>
        <w:pStyle w:val="ListBullet"/>
      </w:pPr>
      <w:r>
        <w:t>Loram, J.W., Luo, J.L., Cooper, J.R., Liang, W.Y., Tallon, J.L. ‘Evidence on the pseudogap and condensate from the electronic specific heat.’ J. Phys. Chem. Solids 62, 59–64 (2001).</w:t>
      </w:r>
    </w:p>
    <w:p>
      <w:pPr>
        <w:pStyle w:val="ListBullet"/>
      </w:pPr>
      <w:r>
        <w:t>Valla, T. et al. ‘Evidence for quantum critical behavior in the optimally doped cuprate Bi2Sr2CaCu2O8+δ.’ Science 285, 2110–2113 (1999).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basedOn w:val="Normal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