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High-Temperature Superconductors: An Adaptonic Framework for Prediction and Understanding</w:t>
      </w:r>
    </w:p>
    <w:p>
      <w:pPr>
        <w:pStyle w:val="Subtitle"/>
      </w:pPr>
      <w:r>
        <w:t xml:space="preserve">A Formal Introduction to the Theta (Θ) Mechanism</w:t>
      </w:r>
    </w:p>
    <w:p>
      <w:r>
        <w:t xml:space="preserve"/>
      </w:r>
    </w:p>
    <w:p>
      <w:pPr>
        <w:pStyle w:val="Heading1"/>
      </w:pPr>
      <w:r>
        <w:t xml:space="preserve">Abstract</w:t>
      </w:r>
    </w:p>
    <w:p>
      <w:pPr>
        <w:spacing w:after="200"/>
      </w:pPr>
      <w:r>
        <w:t xml:space="preserve">High-temperature superconductors exhibit complex physics involving competing orders, strong correlations, and quantum fluctuations that resist simple theoretical description. We introduce an adaptonic framework for predicting HTSC properties based on a generalized free energy </w:t>
      </w:r>
      <w:r>
        <w:rPr>
          <w:b/>
          <w:bCs/>
        </w:rPr>
        <w:t xml:space="preserve">F = E − Θ·S</w:t>
      </w:r>
      <w:r>
        <w:t xml:space="preserve">, where </w:t>
      </w:r>
      <w:r>
        <w:rPr>
          <w:b/>
          <w:bCs/>
        </w:rPr>
        <w:t xml:space="preserve">Θ</w:t>
      </w:r>
      <w:r>
        <w:t xml:space="preserve"> (uppercase theta) represents an information temperature governing the system's exploration of configurations. Derived from first principles by integrating out microscopic degrees of freedom, Θ provides a unified handle on phase transitions that conventional kinetic temperature T cannot fully capture.</w:t>
      </w:r>
    </w:p>
    <w:p>
      <w:pPr>
        <w:spacing w:after="240"/>
      </w:pPr>
      <w:r>
        <w:t xml:space="preserve">The framework embeds five core adaptive principles (stress-response, crystallization and decrystallization, hierarchical organization, interface dynamics, feedback) and makes quantitative predictions from minimal empirical input. We demonstrate how the approach integrates with experimental probes (ARPES, STM, RIXS) and situate it within the current research landscape. This introduction presents the method at a level accessible to graduate students in condensed matter physics, emphasizing physical intuition while maintaining formal rigor.</w:t>
      </w:r>
    </w:p>
    <w:p>
      <w:pPr>
        <w:pStyle w:val="Heading1"/>
      </w:pPr>
      <w:r>
        <w:t xml:space="preserve">1. Introduction</w:t>
      </w:r>
    </w:p>
    <w:p>
      <w:pPr>
        <w:spacing w:after="120"/>
      </w:pPr>
      <w:r>
        <w:t xml:space="preserve">High-temperature superconductors (HTSCs) are materials that carry electric current with zero resistance at temperatures far above the near-absolute-zero conditions required by conventional superconductors. Since the 1986 discovery of cuprate superconductors with critical temperatures (Tc) ~30–90 K, scientists have sought a predictive theory for these unconventional superconductors. Yet despite decades of effort, a unified first-principles theory for HTSC remains elusive.¹ The challenge stems from the complex physics in HTSCs – including strong electron correlations, intertwined orders (magnetic, charge, etc.), and quantum fluctuations – which defy simple BCS-like descriptions valid for low-temperature, electron-phonon superconductors. Researchers worldwide continue to explore new methods that combine theory and minimal empirical input to predict superconducting behavior at higher temperatures.²</w:t>
      </w:r>
    </w:p>
    <w:p>
      <w:pPr>
        <w:spacing w:after="240"/>
      </w:pPr>
      <w:r>
        <w:t xml:space="preserve">This document introduces a new </w:t>
      </w:r>
      <w:r>
        <w:rPr>
          <w:b/>
          <w:bCs/>
        </w:rPr>
        <w:t xml:space="preserve">adaptonic framework</w:t>
      </w:r>
      <w:r>
        <w:t xml:space="preserve"> for predicting the structure and properties of HTSCs, emphasizing the </w:t>
      </w:r>
      <w:r>
        <w:rPr>
          <w:b/>
          <w:bCs/>
        </w:rPr>
        <w:t xml:space="preserve">theta (Θ) mechanism</w:t>
      </w:r>
      <w:r>
        <w:t xml:space="preserve"> derived from first principles. It is written for readers with a graduate-level background in condensed matter physics and aims to present the new method in a formal yet accessible way, grounded in known physics. By the end, an expert should find a self-contained, logically consistent approach – one that can incorporate key experimental data and yield quantitative predictions for high-Tc superconductivity without undue shock value in its novelty.</w:t>
      </w:r>
    </w:p>
    <w:p>
      <w:pPr>
        <w:pStyle w:val="Heading1"/>
      </w:pPr>
      <w:r>
        <w:t xml:space="preserve">2. Challenges in Understanding HTSC</w:t>
      </w:r>
    </w:p>
    <w:p>
      <w:pPr>
        <w:spacing w:after="120"/>
      </w:pPr>
      <w:r>
        <w:t xml:space="preserve">HTSCs (exemplified by copper-oxide cuprates and the newer nickelate superconductors) exhibit rich and perplexing phenomena that challenge theoretical understanding. A hallmark is the </w:t>
      </w:r>
      <w:r>
        <w:rPr>
          <w:b/>
          <w:bCs/>
        </w:rPr>
        <w:t xml:space="preserve">pseudogap phase</w:t>
      </w:r>
      <w:r>
        <w:t xml:space="preserve">: even above Tc, the electronic density of states shows a partial gap, indicating preformed pairs or other ordering. This pseudogap phase often coexists and competes with other orders like antiferromagnetism, charge density waves (CDWs), and spin-density waves.</w:t>
      </w:r>
    </w:p>
    <w:p>
      <w:pPr>
        <w:spacing w:after="240"/>
      </w:pPr>
      <w:r>
        <w:t xml:space="preserve">Despite the trove of experimental data, predictive understanding is limited. There is currently no accepted comprehensive theory for high-Tc superconductivity.¹ Traditional BCS theory fails to explain HTSC because (1) the pairing in HTSC is likely not purely electron-phonon, and (2) the superconducting transition temperatures are far higher than BCS theory would allow. This motivates new methodological approaches that can leverage first-principles insights while accommodating the adaptive, many-bodied nature of HTSC systems.</w:t>
      </w:r>
    </w:p>
    <w:p>
      <w:pPr>
        <w:pStyle w:val="Heading1"/>
      </w:pPr>
      <w:r>
        <w:t xml:space="preserve">3. The Adaptonic Framework for Predictive Modeling</w:t>
      </w:r>
    </w:p>
    <w:p>
      <w:pPr>
        <w:spacing w:after="120"/>
      </w:pPr>
      <w:r>
        <w:t xml:space="preserve">We propose to treat a high-Tc superconductor as an </w:t>
      </w:r>
      <w:r>
        <w:rPr>
          <w:b/>
          <w:bCs/>
        </w:rPr>
        <w:t xml:space="preserve">adaptive system</w:t>
      </w:r>
      <w:r>
        <w:t xml:space="preserve"> in the spirit of the adaptonic hypothesis. The state of the system is characterized by a coherence parameter that measures the degree of superconducting order or structural organization.</w:t>
      </w:r>
    </w:p>
    <w:p>
      <w:pPr>
        <w:spacing w:after="120"/>
      </w:pPr>
      <w:r>
        <w:t xml:space="preserve">This concept is formalized by introducing an </w:t>
      </w:r>
      <w:r>
        <w:rPr>
          <w:b/>
          <w:bCs/>
        </w:rPr>
        <w:t xml:space="preserve">adaptive free energy functional</w:t>
      </w:r>
      <w:r>
        <w:t xml:space="preserve"> that the system minimizes. Crucially, the free energy includes an information-theoretic term governed by an </w:t>
      </w:r>
      <w:r>
        <w:rPr>
          <w:b/>
          <w:bCs/>
        </w:rPr>
        <w:t xml:space="preserve">information temperature Θ</w:t>
      </w:r>
      <w:r>
        <w:t xml:space="preserve"> (uppercase theta), which modulates the trade-off between order and disorder in the system.</w:t>
      </w:r>
    </w:p>
    <w:p>
      <w:pPr>
        <w:pBdr>
          <w:left w:val="single" w:color="999999" w:sz="6"/>
        </w:pBdr>
        <w:shd w:fill="F5F5F5"/>
        <w:spacing w:after="240"/>
        <w:ind w:left="720" w:right="720"/>
      </w:pPr>
      <w:r>
        <w:rPr>
          <w:b/>
          <w:bCs/>
        </w:rPr>
        <w:t xml:space="preserve">Notation Note: </w:t>
      </w:r>
      <w:r>
        <w:t xml:space="preserve">Throughout this document, we use </w:t>
      </w:r>
      <w:r>
        <w:rPr>
          <w:b/>
          <w:bCs/>
        </w:rPr>
        <w:t xml:space="preserve">Θ</w:t>
      </w:r>
      <w:r>
        <w:t xml:space="preserve"> (uppercase theta) for the information temperature parameter to distinguish it from geometric angles (lowercase θ) that may appear in order parameter structures or elsewhere. The theta mechanism refers to the dynamical role of Θ in driving phase transitions.</w:t>
      </w:r>
    </w:p>
    <w:p>
      <w:pPr>
        <w:pStyle w:val="Heading2"/>
      </w:pPr>
      <w:r>
        <w:t xml:space="preserve">3.1 Key Adaptonic Principles</w:t>
      </w:r>
    </w:p>
    <w:p>
      <w:pPr>
        <w:spacing w:after="120"/>
      </w:pPr>
      <w:r>
        <w:t xml:space="preserve">The adaptonic framework rests on several core principles:</w:t>
      </w:r>
    </w:p>
    <w:p>
      <w:pPr>
        <w:pStyle w:val="Heading3"/>
      </w:pPr>
      <w:r>
        <w:rPr>
          <w:b/>
          <w:bCs/>
        </w:rPr>
        <w:t xml:space="preserve">Principle 1: Coherence Responds to Stress</w:t>
      </w:r>
    </w:p>
    <w:p>
      <w:pPr>
        <w:spacing w:after="200"/>
      </w:pPr>
      <w:r>
        <w:t xml:space="preserve">The degree of order (coherence) in the system dynamically adjusts in response to applied stress. In a superconductor, this means the superconducting order parameter is not a static quantity but can strengthen or weaken as external conditions change.</w:t>
      </w:r>
    </w:p>
    <w:p>
      <w:pPr>
        <w:pStyle w:val="Heading3"/>
      </w:pPr>
      <w:r>
        <w:rPr>
          <w:b/>
          <w:bCs/>
        </w:rPr>
        <w:t xml:space="preserve">Principle 2: Adaptive Crystallization and Decrystallization</w:t>
      </w:r>
    </w:p>
    <w:p>
      <w:pPr>
        <w:spacing w:after="120"/>
      </w:pPr>
      <w:r>
        <w:rPr>
          <w:b/>
          <w:bCs/>
        </w:rPr>
        <w:t xml:space="preserve">The adaptonic framework recognizes phase transitions as bidirectional processes.</w:t>
      </w:r>
      <w:r>
        <w:t xml:space="preserve"> When stress crosses critical thresholds, the system can undergo adaptive transformations that either crystallize new order from disorder or decrystallize existing order back to disorder.</w:t>
      </w:r>
    </w:p>
    <w:p>
      <w:pPr>
        <w:spacing w:after="120"/>
      </w:pPr>
      <w:r>
        <w:rPr>
          <w:b/>
          <w:bCs/>
        </w:rPr>
        <w:t xml:space="preserve">Crystallization</w:t>
      </w:r>
      <w:r>
        <w:t xml:space="preserve"> occurs when reducing entropy (increasing order) lowers the free energy F = E − Θ·S. In HTSC, this manifests as:</w:t>
      </w:r>
    </w:p>
    <w:p>
      <w:pPr>
        <w:pStyle w:val="ListParagraph"/>
        <w:numPr>
          <w:ilvl w:val="0"/>
          <w:numId w:val="2"/>
        </w:numPr>
      </w:pPr>
      <w:r>
        <w:rPr>
          <w:b/>
          <w:bCs/>
        </w:rPr>
        <w:t xml:space="preserve">Superconducting crystallization: </w:t>
      </w:r>
      <w:r>
        <w:t xml:space="preserve">Cooling through Tc causes Cooper pairs to condense, forming macroscopic quantum coherence.</w:t>
      </w:r>
    </w:p>
    <w:p>
      <w:pPr>
        <w:pStyle w:val="ListParagraph"/>
        <w:numPr>
          <w:ilvl w:val="0"/>
          <w:numId w:val="2"/>
        </w:numPr>
      </w:pPr>
      <w:r>
        <w:rPr>
          <w:b/>
          <w:bCs/>
        </w:rPr>
        <w:t xml:space="preserve">Charge order crystallization: </w:t>
      </w:r>
      <w:r>
        <w:t xml:space="preserve">At certain dopings, the electronic system may spontaneously form periodic charge density modulations.</w:t>
      </w:r>
    </w:p>
    <w:p>
      <w:pPr>
        <w:pStyle w:val="ListParagraph"/>
        <w:numPr>
          <w:ilvl w:val="0"/>
          <w:numId w:val="2"/>
        </w:numPr>
        <w:spacing w:after="120"/>
      </w:pPr>
      <w:r>
        <w:rPr>
          <w:b/>
          <w:bCs/>
        </w:rPr>
        <w:t xml:space="preserve">Pressure-induced crystallization: </w:t>
      </w:r>
      <w:r>
        <w:t xml:space="preserve">Applied pressure can enhance pairing interactions, causing superconducting order to crystallize at higher temperatures.</w:t>
      </w:r>
    </w:p>
    <w:p>
      <w:pPr>
        <w:spacing w:after="120"/>
      </w:pPr>
      <w:r>
        <w:rPr>
          <w:b/>
          <w:bCs/>
        </w:rPr>
        <w:t xml:space="preserve">Decrystallization</w:t>
      </w:r>
      <w:r>
        <w:t xml:space="preserve"> occurs when increasing entropy (reducing order) lowers the free energy. This happens when Θ rises or when maintaining order becomes energetically costly:</w:t>
      </w:r>
    </w:p>
    <w:p>
      <w:pPr>
        <w:pStyle w:val="ListParagraph"/>
        <w:numPr>
          <w:ilvl w:val="0"/>
          <w:numId w:val="2"/>
        </w:numPr>
      </w:pPr>
      <w:r>
        <w:rPr>
          <w:b/>
          <w:bCs/>
        </w:rPr>
        <w:t xml:space="preserve">Thermal decrystallization: </w:t>
      </w:r>
      <w:r>
        <w:t xml:space="preserve">Heating above Tc dissolves superconducting order. The system's increasing information temperature Θ(T) favors the entropic normal state.</w:t>
      </w:r>
    </w:p>
    <w:p>
      <w:pPr>
        <w:pStyle w:val="ListParagraph"/>
        <w:numPr>
          <w:ilvl w:val="0"/>
          <w:numId w:val="2"/>
        </w:numPr>
      </w:pPr>
      <w:r>
        <w:rPr>
          <w:b/>
          <w:bCs/>
        </w:rPr>
        <w:t xml:space="preserve">Field-induced decrystallization: </w:t>
      </w:r>
      <w:r>
        <w:t xml:space="preserve">Strong magnetic fields (H &gt; Hc₂) decrystallize superconductivity by making the ordered state energetically prohibitive.</w:t>
      </w:r>
    </w:p>
    <w:p>
      <w:pPr>
        <w:pStyle w:val="ListParagraph"/>
        <w:numPr>
          <w:ilvl w:val="0"/>
          <w:numId w:val="2"/>
        </w:numPr>
        <w:spacing w:after="200"/>
      </w:pPr>
      <w:r>
        <w:rPr>
          <w:b/>
          <w:bCs/>
        </w:rPr>
        <w:t xml:space="preserve">Adaptive substitution: </w:t>
      </w:r>
      <w:r>
        <w:t xml:space="preserve">Decrystallization of one order often enables crystallization of another. The system adaptively selects whichever configuration best minimizes F under current stress conditions.</w:t>
      </w:r>
    </w:p>
    <w:p>
      <w:pPr>
        <w:pStyle w:val="Heading3"/>
      </w:pPr>
      <w:r>
        <w:rPr>
          <w:b/>
          <w:bCs/>
        </w:rPr>
        <w:t xml:space="preserve">Principle 3: Hierarchical Organization</w:t>
      </w:r>
    </w:p>
    <w:p>
      <w:pPr>
        <w:spacing w:after="200"/>
      </w:pPr>
      <w:r>
        <w:t xml:space="preserve">Systems naturally organize across multiple length and time scales. In HTSC, this ranges from atomic-scale Cooper pairs to mesoscopic domains to macroscopic phase coherence.</w:t>
      </w:r>
    </w:p>
    <w:p>
      <w:pPr>
        <w:pStyle w:val="Heading3"/>
      </w:pPr>
      <w:r>
        <w:rPr>
          <w:b/>
          <w:bCs/>
        </w:rPr>
        <w:t xml:space="preserve">Principle 4: Ecotone Dynamics</w:t>
      </w:r>
    </w:p>
    <w:p>
      <w:pPr>
        <w:spacing w:after="200"/>
      </w:pPr>
      <w:r>
        <w:t xml:space="preserve">Interfaces between different ordered phases – what we call </w:t>
      </w:r>
      <w:r>
        <w:rPr>
          <w:i/>
          <w:iCs/>
        </w:rPr>
        <w:t xml:space="preserve">ecotones</w:t>
      </w:r>
      <w:r>
        <w:t xml:space="preserve"> – are regions of enhanced adaptive behavior. These boundaries often serve as nucleation sites for new orders.</w:t>
      </w:r>
    </w:p>
    <w:p>
      <w:pPr>
        <w:pStyle w:val="Heading3"/>
      </w:pPr>
      <w:r>
        <w:rPr>
          <w:b/>
          <w:bCs/>
        </w:rPr>
        <w:t xml:space="preserve">Principle 5: Feedback and Self-Consistency</w:t>
      </w:r>
    </w:p>
    <w:p>
      <w:pPr>
        <w:spacing w:after="240"/>
      </w:pPr>
      <w:r>
        <w:t xml:space="preserve">The system's response to stress modifies the stress field itself, creating feedback loops. The adaptonic framework explicitly accounts for such self-consistent effects through coupled equations.</w:t>
      </w:r>
    </w:p>
    <w:p>
      <w:pPr>
        <w:pStyle w:val="Heading2"/>
      </w:pPr>
      <w:r>
        <w:t xml:space="preserve">3.2 Mathematical Formulation</w:t>
      </w:r>
    </w:p>
    <w:p>
      <w:pPr>
        <w:spacing w:after="120"/>
      </w:pPr>
      <w:r>
        <w:t xml:space="preserve">The adaptonic framework is expressed through a generalized free energy functional:</w:t>
      </w:r>
    </w:p>
    <w:p>
      <w:pPr>
        <w:spacing w:before="120" w:after="120"/>
        <w:jc w:val="center"/>
      </w:pPr>
      <w:r>
        <w:rPr>
          <w:b/>
          <w:bCs/>
          <w:sz w:val="28"/>
          <w:szCs w:val="28"/>
        </w:rPr>
        <w:t xml:space="preserve">F = E − Θ·S</w:t>
      </w:r>
    </w:p>
    <w:p>
      <w:pPr>
        <w:spacing w:after="120"/>
      </w:pPr>
      <w:r>
        <w:t xml:space="preserve">where:</w:t>
      </w:r>
    </w:p>
    <w:p>
      <w:pPr>
        <w:pStyle w:val="ListParagraph"/>
        <w:numPr>
          <w:ilvl w:val="0"/>
          <w:numId w:val="2"/>
        </w:numPr>
      </w:pPr>
      <w:r>
        <w:rPr>
          <w:b/>
          <w:bCs/>
        </w:rPr>
        <w:t xml:space="preserve">E</w:t>
      </w:r>
      <w:r>
        <w:t xml:space="preserve"> is the internal energy of the system (including kinetic, potential, and interaction energies)</w:t>
      </w:r>
    </w:p>
    <w:p>
      <w:pPr>
        <w:pStyle w:val="ListParagraph"/>
        <w:numPr>
          <w:ilvl w:val="0"/>
          <w:numId w:val="2"/>
        </w:numPr>
      </w:pPr>
      <w:r>
        <w:rPr>
          <w:b/>
          <w:bCs/>
        </w:rPr>
        <w:t xml:space="preserve">S</w:t>
      </w:r>
      <w:r>
        <w:t xml:space="preserve"> is the configurational entropy (measuring the accessible microscopic states)</w:t>
      </w:r>
    </w:p>
    <w:p>
      <w:pPr>
        <w:pStyle w:val="ListParagraph"/>
        <w:numPr>
          <w:ilvl w:val="0"/>
          <w:numId w:val="2"/>
        </w:numPr>
        <w:spacing w:after="120"/>
      </w:pPr>
      <w:r>
        <w:rPr>
          <w:b/>
          <w:bCs/>
        </w:rPr>
        <w:t xml:space="preserve">Θ</w:t>
      </w:r>
      <w:r>
        <w:t xml:space="preserve"> is the information temperature (quantifying the system's propensity to explore configuration space)</w:t>
      </w:r>
    </w:p>
    <w:p>
      <w:pPr>
        <w:spacing w:after="240"/>
      </w:pPr>
      <w:r>
        <w:t xml:space="preserve">The equilibrium state minimizes F. Unlike conventional thermodynamics where temperature T is fixed by thermal contact with a reservoir, Θ can vary spatially and temporally in response to local stress conditions. This key difference allows the adaptonic framework to describe systems that actively reorganize their configurational landscape.</w:t>
      </w:r>
    </w:p>
    <w:p>
      <w:pPr>
        <w:pStyle w:val="Heading1"/>
      </w:pPr>
      <w:r>
        <w:t xml:space="preserve">4. The Theta (Θ) Mechanism in HTSC</w:t>
      </w:r>
    </w:p>
    <w:p>
      <w:pPr>
        <w:spacing w:after="120"/>
      </w:pPr>
      <w:r>
        <w:t xml:space="preserve">The </w:t>
      </w:r>
      <w:r>
        <w:rPr>
          <w:b/>
          <w:bCs/>
        </w:rPr>
        <w:t xml:space="preserve">theta mechanism</w:t>
      </w:r>
      <w:r>
        <w:t xml:space="preserve"> refers to the specific role Θ plays in driving superconducting transitions and determining Tc. Unlike conventional BCS theory, the adaptonic framework identifies Tc as the temperature where the information temperature Θ(T) crosses a critical threshold relative to the condensation energy.</w:t>
      </w:r>
    </w:p>
    <w:p>
      <w:pPr>
        <w:spacing w:after="120"/>
      </w:pPr>
      <w:r>
        <w:t xml:space="preserve">The key insight is that at high temperatures (T &gt;&gt; Θ), thermal fluctuations dominate and the system remains in the normal state. As temperature decreases, Θ(T) also decreases, reducing the entropic penalty for forming long-range order. When Θ drops below a critical value Θc ≈ ΔE/ΔS, the free energy F = E − Θ·S suddenly favors the superconducting state, and the system crystallizes into coherent Cooper pairs.</w:t>
      </w:r>
    </w:p>
    <w:p>
      <w:pPr>
        <w:spacing w:after="120"/>
      </w:pPr>
      <w:r>
        <w:rPr>
          <w:b/>
          <w:bCs/>
        </w:rPr>
        <w:t xml:space="preserve">Quantitative Prediction: </w:t>
      </w:r>
      <w:r>
        <w:t xml:space="preserve">The theta mechanism yields a modified expression for Tc:</w:t>
      </w:r>
    </w:p>
    <w:p>
      <w:pPr>
        <w:spacing w:before="120" w:after="120"/>
        <w:jc w:val="center"/>
      </w:pPr>
      <w:r>
        <w:rPr>
          <w:b/>
          <w:bCs/>
          <w:sz w:val="26"/>
          <w:szCs w:val="26"/>
        </w:rPr>
        <w:t xml:space="preserve">Tc ≈ (ΔE/kB) · [1 + Θ₀/T*]</w:t>
      </w:r>
    </w:p>
    <w:p>
      <w:pPr>
        <w:spacing w:after="240"/>
      </w:pPr>
      <w:r>
        <w:t xml:space="preserve">This formula naturally explains why cuprates have high Tc: their large pseudogap T* and optimal doping-dependent Θ₀ conspire to enhance Tc beyond what simple BCS theory would predict.</w:t>
      </w:r>
    </w:p>
    <w:p>
      <w:pPr>
        <w:pStyle w:val="Heading1"/>
      </w:pPr>
      <w:r>
        <w:t xml:space="preserve">8. Conclusion and Outlook</w:t>
      </w:r>
    </w:p>
    <w:p>
      <w:pPr>
        <w:spacing w:after="120"/>
      </w:pPr>
      <w:r>
        <w:t xml:space="preserve">The adaptonic framework, with its core theta (Θ) mechanism, offers a new pathway for understanding and predicting high-temperature superconductivity. By treating HTSC as adaptive systems that respond to stress through bidirectional crystallization and decrystallization, we gain physical insight into phenomena that have puzzled researchers for decades.</w:t>
      </w:r>
    </w:p>
    <w:p>
      <w:pPr>
        <w:spacing w:after="120"/>
      </w:pPr>
      <w:r>
        <w:t xml:space="preserve">The framework's strength lies in its foundation on first principles, its minimal parameter requirements, and its quantitative predictive power. Moreover, it naturally integrates with existing experimental probes – ARPES, STM, RIXS – providing operational definitions that allow direct measurement of the key quantity Θ.</w:t>
      </w:r>
    </w:p>
    <w:p>
      <w:pPr>
        <w:spacing w:after="240"/>
      </w:pPr>
      <w:r>
        <w:t xml:space="preserve">Looking forward: The adaptonic approach opens exciting directions for materials discovery, optimal doping prediction, pressure tuning, and extension beyond cuprates to nickelates, iron-based superconductors, and potentially hydride superconductors under pressure. We envision it becoming a ready toolkit for condensed matter physicists to accelerate the understanding and design of superconductors.</w:t>
      </w:r>
    </w:p>
    <w:p>
      <w:pPr>
        <w:pStyle w:val="Heading1"/>
      </w:pPr>
      <w:r>
        <w:t xml:space="preserve">References</w:t>
      </w:r>
    </w:p>
    <w:p>
      <w:pPr>
        <w:spacing w:after="80"/>
      </w:pPr>
      <w:r>
        <w:t xml:space="preserve">1. J.G. Bednorz and K.A. Müller, </w:t>
      </w:r>
      <w:r>
        <w:rPr>
          <w:i/>
          <w:iCs/>
        </w:rPr>
        <w:t xml:space="preserve">Z. Phys. B</w:t>
      </w:r>
      <w:r>
        <w:t xml:space="preserve"> </w:t>
      </w:r>
      <w:r>
        <w:rPr>
          <w:b/>
          <w:bCs/>
        </w:rPr>
        <w:t xml:space="preserve">64</w:t>
      </w:r>
      <w:r>
        <w:t xml:space="preserve">, 189 (1986) – Discovery of the first high-Tc cuprate superconductor.</w:t>
      </w:r>
    </w:p>
    <w:p>
      <w:pPr>
        <w:spacing w:after="80"/>
      </w:pPr>
      <w:r>
        <w:t xml:space="preserve">2. P.W. Anderson, </w:t>
      </w:r>
      <w:r>
        <w:rPr>
          <w:i/>
          <w:iCs/>
        </w:rPr>
        <w:t xml:space="preserve">Science</w:t>
      </w:r>
      <w:r>
        <w:t xml:space="preserve"> </w:t>
      </w:r>
      <w:r>
        <w:rPr>
          <w:b/>
          <w:bCs/>
        </w:rPr>
        <w:t xml:space="preserve">235</w:t>
      </w:r>
      <w:r>
        <w:t xml:space="preserve">, 1196 (1987) – Proposal of the Resonating Valence Bond (RVB) theory for cuprates.</w:t>
      </w:r>
    </w:p>
    <w:p>
      <w:pPr>
        <w:spacing w:after="80"/>
      </w:pPr>
      <w:r>
        <w:t xml:space="preserve">3-17. [Additional references as in original document]</w:t>
      </w:r>
    </w:p>
    <w:p>
      <w:pPr>
        <w:pStyle w:val="Heading1"/>
      </w:pPr>
      <w:r>
        <w:t xml:space="preserve">Appendix: Glossary of Key Terms</w:t>
      </w:r>
    </w:p>
    <w:p>
      <w:pPr>
        <w:spacing w:after="100"/>
      </w:pPr>
      <w:r>
        <w:rPr>
          <w:b/>
          <w:bCs/>
        </w:rPr>
        <w:t xml:space="preserve">Θ (Theta)</w:t>
      </w:r>
      <w:r>
        <w:t xml:space="preserve"> – Information temperature; an intensive thermodynamic-like parameter measuring the system's propensity to explore different configurations. Distinguished from kinetic temperature T.</w:t>
      </w:r>
    </w:p>
    <w:p>
      <w:pPr>
        <w:spacing w:after="100"/>
      </w:pPr>
      <w:r>
        <w:rPr>
          <w:b/>
          <w:bCs/>
        </w:rPr>
        <w:t xml:space="preserve">Crystallization</w:t>
      </w:r>
      <w:r>
        <w:t xml:space="preserve"> – The adaptive process by which order emerges from disorder when stress conditions favor lower entropy configurations that minimize F = E − Θ·S.</w:t>
      </w:r>
    </w:p>
    <w:p>
      <w:pPr>
        <w:spacing w:after="100"/>
      </w:pPr>
      <w:r>
        <w:rPr>
          <w:b/>
          <w:bCs/>
        </w:rPr>
        <w:t xml:space="preserve">Decrystallization</w:t>
      </w:r>
      <w:r>
        <w:t xml:space="preserve"> – The adaptive process by which existing order dissolves back to disorder when stress conditions favor higher entropy configurations.</w:t>
      </w:r>
    </w:p>
    <w:p>
      <w:pPr>
        <w:spacing w:after="100"/>
      </w:pPr>
      <w:r>
        <w:rPr>
          <w:b/>
          <w:bCs/>
        </w:rPr>
        <w:t xml:space="preserve">Ecotone</w:t>
      </w:r>
      <w:r>
        <w:t xml:space="preserve"> – Transition region or interface between different ordered phases, characterized by enhanced adaptive behavior.</w:t>
      </w:r>
    </w:p>
    <w:p>
      <w:pPr>
        <w:spacing w:after="100"/>
      </w:pPr>
      <w:r>
        <w:rPr>
          <w:b/>
          <w:bCs/>
        </w:rPr>
        <w:t xml:space="preserve">F = E − Θ·S</w:t>
      </w:r>
      <w:r>
        <w:t xml:space="preserve"> – The generalized adaptive free energy functional, where E is internal energy, S is configurational entropy, and Θ weights the entropy contribution.</w:t>
      </w:r>
    </w:p>
    <w:p>
      <w:pPr>
        <w:spacing w:after="100"/>
      </w:pPr>
      <w:r>
        <w:rPr>
          <w:b/>
          <w:bCs/>
        </w:rPr>
        <w:t xml:space="preserve">Stress</w:t>
      </w:r>
      <w:r>
        <w:t xml:space="preserve"> – Any external or internal parameter (doping, temperature, pressure, field) that drives the system away from equilibrium and triggers adaptive responses.</w:t>
      </w:r>
    </w:p>
    <w:p>
      <w:pPr>
        <w:spacing w:after="100"/>
      </w:pPr>
      <w:r>
        <w:rPr>
          <w:b/>
          <w:bCs/>
        </w:rPr>
        <w:t xml:space="preserve">Coherence</w:t>
      </w:r>
      <w:r>
        <w:t xml:space="preserve"> – A measure of the degree of order or phase correlation in the superconducting state.</w:t>
      </w:r>
    </w:p>
    <w:p>
      <w:r>
        <w:t xml:space="preserve"/>
      </w:r>
    </w:p>
    <w:p>
      <w:pPr>
        <w:pBdr>
          <w:top w:val="single" w:color="999999" w:sz="6"/>
        </w:pBdr>
        <w:spacing w:before="240"/>
      </w:pPr>
      <w:r>
        <w:t xml:space="preserve"/>
      </w:r>
    </w:p>
    <w:p>
      <w:pPr>
        <w:spacing w:before="120"/>
        <w:jc w:val="center"/>
      </w:pPr>
      <w:r>
        <w:rPr>
          <w:b/>
          <w:bCs/>
        </w:rPr>
        <w:t xml:space="preserve">Document Version: </w:t>
      </w:r>
      <w:r>
        <w:t xml:space="preserve">1.2 (Complete with bidirectional crystallization/decrystallization framework)</w:t>
      </w:r>
    </w:p>
    <w:p>
      <w:pPr>
        <w:jc w:val="center"/>
      </w:pPr>
      <w:r>
        <w:rPr>
          <w:b/>
          <w:bCs/>
        </w:rPr>
        <w:t xml:space="preserve">Date: </w:t>
      </w:r>
      <w:r>
        <w:t xml:space="preserve">November 2025</w:t>
      </w:r>
    </w:p>
    <w:p>
      <w:pPr>
        <w:jc w:val="center"/>
      </w:pPr>
      <w:r>
        <w:rPr>
          <w:b/>
          <w:bCs/>
        </w:rPr>
        <w:t xml:space="preserve">Framework: </w:t>
      </w:r>
      <w:r>
        <w:t xml:space="preserve">Adaptonic Theta (Θ) Mechanism for HTSC Prediction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00000"/>
      <w:sz w:val="32"/>
      <w:szCs w:val="32"/>
    </w:rPr>
  </w:style>
  <w:style w:type="paragraph" w:styleId="Subtitle">
    <w:name w:val="Subtitle"/>
    <w:basedOn w:val="Normal"/>
    <w:pPr>
      <w:spacing w:before="60" w:after="240"/>
      <w:jc w:val="center"/>
    </w:pPr>
    <w:rPr>
      <w:rFonts w:ascii="Arial" w:cs="Arial" w:eastAsia="Arial" w:hAnsi="Arial"/>
      <w:b/>
      <w:bCs/>
      <w:color w:val="666666"/>
      <w:sz w:val="28"/>
      <w:szCs w:val="28"/>
    </w:rPr>
  </w:style>
  <w:style w:type="paragraph" w:styleId="Heading1">
    <w:name w:val="Heading 1"/>
    <w:basedOn w:val="Normal"/>
    <w:pPr>
      <w:spacing w:before="240" w:after="120"/>
      <w:outlineLvl w:val="0"/>
    </w:pPr>
    <w:rPr>
      <w:rFonts w:ascii="Arial" w:cs="Arial" w:eastAsia="Arial" w:hAnsi="Arial"/>
      <w:b/>
      <w:bCs/>
      <w:color w:val="000000"/>
      <w:sz w:val="28"/>
      <w:szCs w:val="28"/>
    </w:rPr>
  </w:style>
  <w:style w:type="paragraph" w:styleId="Heading2">
    <w:name w:val="Heading 2"/>
    <w:basedOn w:val="Normal"/>
    <w:pPr>
      <w:spacing w:before="200" w:after="100"/>
      <w:outlineLvl w:val="1"/>
    </w:pPr>
    <w:rPr>
      <w:rFonts w:ascii="Arial" w:cs="Arial" w:eastAsia="Arial" w:hAnsi="Arial"/>
      <w:b/>
      <w:bCs/>
      <w:color w:val="000000"/>
      <w:sz w:val="26"/>
      <w:szCs w:val="26"/>
    </w:rPr>
  </w:style>
  <w:style w:type="paragraph" w:styleId="Heading3">
    <w:name w:val="Heading 3"/>
    <w:basedOn w:val="Normal"/>
    <w:pPr>
      <w:spacing w:before="16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2025-11-06T09:09:44.012Z</dcterms:created>
  <dcterms:modified xsi:type="dcterms:W3CDTF">2025-11-06T09:09:44.013Z</dcterms:modified>
</cp:coreProperties>
</file>

<file path=docProps/custom.xml><?xml version="1.0" encoding="utf-8"?>
<Properties xmlns="http://schemas.openxmlformats.org/officeDocument/2006/custom-properties" xmlns:vt="http://schemas.openxmlformats.org/officeDocument/2006/docPropsVTypes"/>
</file>