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b/>
          <w:i w:val="0"/>
        </w:rPr>
        <w:t>Ontogenesis of Coherence — Final Canon (σ–Θ–γ)</w:t>
      </w:r>
    </w:p>
    <w:p>
      <w:pPr>
        <w:spacing w:line="360" w:lineRule="auto" w:after="120"/>
        <w:jc w:val="center"/>
      </w:pPr>
      <w:r>
        <w:rPr>
          <w:b w:val="0"/>
          <w:i/>
        </w:rPr>
        <w:t>Status: Final canonical chapter (≈20 pp. DOCX) • Version: November 2025</w:t>
      </w:r>
    </w:p>
    <w:p/>
    <w:p>
      <w:pPr>
        <w:spacing w:before="240" w:line="360" w:lineRule="auto"/>
      </w:pPr>
      <w:r>
        <w:rPr>
          <w:b/>
          <w:sz w:val="32"/>
        </w:rPr>
        <w:t>Ontogenesis of Coherence — Final Canon (σ–Θ–γ)</w:t>
      </w:r>
    </w:p>
    <w:p>
      <w:pPr>
        <w:spacing w:line="360" w:lineRule="auto" w:after="120"/>
      </w:pPr>
      <w:r>
        <w:rPr>
          <w:b w:val="0"/>
          <w:i w:val="0"/>
        </w:rPr>
        <w:t xml:space="preserve">**Status:** Final canonical chapter (≈20 pp. in DOCX with standard settings)  </w:t>
        <w:br/>
        <w:t xml:space="preserve">**Version:** November 2025  </w:t>
        <w:br/>
        <w:t>**Framework:** Adaptonics 2.0 (Two-Line Law, Three Fields)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Streszczenie</w:t>
      </w:r>
    </w:p>
    <w:p>
      <w:pPr>
        <w:spacing w:line="360" w:lineRule="auto" w:after="120"/>
      </w:pPr>
      <w:r>
        <w:rPr>
          <w:b w:val="0"/>
          <w:i w:val="0"/>
        </w:rPr>
        <w:t>Niniejszy rozdział formułuje **Ontogenezę Spójności (OC)** jako kompletną część Adaptoniki 2.0, w której **trzy pola** — *koherencja* σ(x,t), *temperatura informacji* Θ(x,t) i *lepkość medium* γ(x,t) — tworzą **irredukowalną podstawę** dynamiki adaptacyjnej. Zasada swobodnej energii i równanie ruchu są pisane **od pierwszej linijki** w formie dwuwierszowej, ujawniając trzy pola explicite: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F[σ; Θ] = E[σ] − Θ(x,t) · S[σ]</w:t>
        <w:br/>
        <w:t>γ(x,t) · ∂t σ(x,t) = − δF/δσ(x,t) + √(2 Θ(x,t)) · ξ(x,t)</w:t>
      </w:r>
    </w:p>
    <w:p>
      <w:pPr>
        <w:spacing w:line="360" w:lineRule="auto" w:after="120"/>
      </w:pPr>
      <w:r>
        <w:rPr>
          <w:b w:val="0"/>
          <w:i w:val="0"/>
        </w:rPr>
        <w:t>Spójność powstaje, utrzymuje się i reorganizuje **właśnie dzięki relacji** tych pól: σ porządkuje, Θ eksploruje, γ reguluje czas i stabilność. Rozdział dostarcza definicji, dowodów istnienia rozwiązań w klasie SPDE, mapy faz w przestrzeni (Θ,γ), formalnej definicji ekotonów oraz aplikacji w kosmologii (OD), HTSC i AGI.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Spis treści</w:t>
      </w:r>
    </w:p>
    <w:p>
      <w:pPr>
        <w:spacing w:line="360" w:lineRule="auto" w:after="120"/>
      </w:pPr>
      <w:r>
        <w:rPr>
          <w:b w:val="0"/>
          <w:i w:val="0"/>
        </w:rPr>
        <w:t xml:space="preserve">1. Wprowadzenie i motywacja  </w:t>
        <w:br/>
        <w:t xml:space="preserve">2. Prawo fundamentalne (dwuwierszowe)  </w:t>
        <w:br/>
        <w:t xml:space="preserve">3. Status ontologiczny pól σ, Θ, γ  </w:t>
        <w:br/>
        <w:t xml:space="preserve">4. Struktura wariacyjno-dynamiczna i SPDE  </w:t>
        <w:br/>
        <w:t xml:space="preserve">5. Ekotony: definicje, twierdzenia, algorytmy wykrywania  </w:t>
        <w:br/>
        <w:t xml:space="preserve">6. Diagram fazowy w (Θ,γ) i klasy uniwersalności  </w:t>
        <w:br/>
        <w:t xml:space="preserve">7. Implementacja kosmologiczna (OD): krystalizacja wymiarów, pinning termiczny, epoki kosmiczne  </w:t>
        <w:br/>
        <w:t xml:space="preserve">8. Zastosowania: HTSC (Θ_mixing, γ_family), AGI (anti-scaling, glass), kultura (instytucje jako γ)  </w:t>
        <w:br/>
        <w:t xml:space="preserve">9. Falsyfikowalność i program badań 2025–2030  </w:t>
        <w:br/>
        <w:t xml:space="preserve">10. Słownik pojęć i notacja  </w:t>
        <w:br/>
        <w:t xml:space="preserve">A. Aneks A: Wyprowadzenia wariacyjne  </w:t>
        <w:br/>
        <w:t xml:space="preserve">B. Aneks B: RG-flow w (Θ,γ)  </w:t>
        <w:br/>
        <w:t xml:space="preserve">C. Aneks C: Procedury numeryczne (pseudokod)  </w:t>
        <w:br/>
        <w:t>D. Aneks D: Ramy porównawcze z GR/EFT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1. Wprowadzenie i motywacja</w:t>
      </w:r>
    </w:p>
    <w:p>
      <w:pPr>
        <w:spacing w:line="360" w:lineRule="auto" w:after="120"/>
      </w:pPr>
      <w:r>
        <w:rPr>
          <w:b w:val="0"/>
          <w:i w:val="0"/>
        </w:rPr>
        <w:t>**Teza:** trwałość struktur w naturze nie wynika z „zatrzymania dynamiki”, lecz z **równowagi trzech procesów**: *porządkowania* (σ), *eksploracji* (Θ) i *regulacji w czasie* (γ). Z tej perspektywy spójność nie jest własnością statyczną; jest **dynamiczną równowagą**.</w:t>
      </w:r>
    </w:p>
    <w:p>
      <w:pPr>
        <w:spacing w:line="360" w:lineRule="auto" w:after="120"/>
      </w:pPr>
      <w:r>
        <w:rPr>
          <w:b w:val="0"/>
          <w:i w:val="0"/>
        </w:rPr>
        <w:t>**Cel rozdziału:** zdefiniować i ugruntować OC w kanonie Adaptoniki 2.0, w wersji gotowej do publikacji naukowej, z naciskiem na **operacjonalizację** i **falsyfikowalność**.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2. Prawo fundamentalne (dwuwierszowe)</w:t>
      </w:r>
    </w:p>
    <w:p>
      <w:pPr>
        <w:spacing w:line="360" w:lineRule="auto" w:after="120"/>
      </w:pPr>
      <w:r>
        <w:rPr>
          <w:b w:val="0"/>
          <w:i w:val="0"/>
        </w:rPr>
        <w:t>### 2.1 Aksjomaty</w:t>
      </w:r>
    </w:p>
    <w:p>
      <w:pPr>
        <w:spacing w:line="360" w:lineRule="auto" w:after="120"/>
      </w:pPr>
      <w:r>
        <w:rPr>
          <w:b w:val="0"/>
          <w:i w:val="0"/>
        </w:rPr>
        <w:t>**Aksjomat 1 — Zasada swobodnej energii (krajobraz):**</w:t>
        <w:br/>
        <w:t>```</w:t>
        <w:br/>
        <w:t>F[σ; Θ] = E[σ] − Θ(x,t) · S[σ].</w:t>
        <w:br/>
        <w:t>```</w:t>
        <w:br/>
        <w:t>E — energia struktury, S — entropia konfiguracyjna, Θ — intensywność reorganizacji.</w:t>
      </w:r>
    </w:p>
    <w:p>
      <w:pPr>
        <w:spacing w:line="360" w:lineRule="auto" w:after="120"/>
      </w:pPr>
      <w:r>
        <w:rPr>
          <w:b w:val="0"/>
          <w:i w:val="0"/>
        </w:rPr>
        <w:t>**Aksjomat 2 — Dynamika adaptoniczna (ruch):**</w:t>
        <w:br/>
        <w:t>```</w:t>
        <w:br/>
        <w:t>γ(x,t) · ∂t σ(x,t) = − δF/δσ(x,t) + √(2 Θ(x,t)) · ξ(x,t).</w:t>
        <w:br/>
        <w:t>```</w:t>
        <w:br/>
        <w:t>γ — lepkość medium (metryka czasu); ξ — biały szum, ⟨ξ(t)ξ(t′)⟩=δ(t−t′).</w:t>
      </w:r>
    </w:p>
    <w:p>
      <w:pPr>
        <w:spacing w:line="360" w:lineRule="auto" w:after="120"/>
      </w:pPr>
      <w:r>
        <w:rPr>
          <w:b w:val="0"/>
          <w:i w:val="0"/>
        </w:rPr>
        <w:t>**Uwaga krytyczna:** **trzy pola** są obecne **od razu**: σ i Θ w F; γ przy operatorze czasu.</w:t>
      </w:r>
    </w:p>
    <w:p>
      <w:pPr>
        <w:spacing w:line="360" w:lineRule="auto" w:after="120"/>
      </w:pPr>
      <w:r>
        <w:rPr>
          <w:b w:val="0"/>
          <w:i w:val="0"/>
        </w:rPr>
        <w:t>### 2.2 Interpretacja: „gdzie”, „jak szybko”, „jak szeroko”</w:t>
      </w:r>
    </w:p>
    <w:p>
      <w:pPr>
        <w:spacing w:line="360" w:lineRule="auto" w:after="120"/>
      </w:pPr>
      <w:r>
        <w:rPr>
          <w:b w:val="0"/>
          <w:i w:val="0"/>
        </w:rPr>
        <w:t xml:space="preserve">- **F[σ;Θ]** określa **gdzie** system „chce być” (minima F).  </w:t>
        <w:br/>
        <w:t xml:space="preserve">- **γ** określa **jak szybko** system *może* tam dojść (czas relaksacji).  </w:t>
        <w:br/>
        <w:t>- **Θ** określa **jak szeroko** system *przeszukuje* krajobraz (amplituda eksploracji).</w:t>
      </w:r>
    </w:p>
    <w:p>
      <w:pPr>
        <w:spacing w:line="360" w:lineRule="auto" w:after="120"/>
      </w:pPr>
      <w:r>
        <w:rPr>
          <w:b w:val="0"/>
          <w:i w:val="0"/>
        </w:rPr>
        <w:t>Ta triada jest **minimalna i kompletna**.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3. Status ontologiczny pól</w:t>
      </w:r>
    </w:p>
    <w:p>
      <w:pPr>
        <w:spacing w:line="360" w:lineRule="auto" w:after="120"/>
      </w:pPr>
      <w:r>
        <w:rPr>
          <w:b w:val="0"/>
          <w:i w:val="0"/>
        </w:rPr>
        <w:t>### 3.1 σ — koherencja / spójność strukturalna</w:t>
        <w:br/>
        <w:t xml:space="preserve">- σ∈[0,1], σ≈0: faza plastyczna; σ≈1: faza skrystalizowana.  </w:t>
        <w:br/>
        <w:t>- ∇σ≠0: **ekotony** — miejsca maksymalnej reorganizacji.</w:t>
      </w:r>
    </w:p>
    <w:p>
      <w:pPr>
        <w:spacing w:line="360" w:lineRule="auto" w:after="120"/>
      </w:pPr>
      <w:r>
        <w:rPr>
          <w:b w:val="0"/>
          <w:i w:val="0"/>
        </w:rPr>
        <w:t>### 3.2 Θ — temperatura informacji</w:t>
        <w:br/>
        <w:t xml:space="preserve">- amplitude eksploracji; suma kanałów: termiczny, kinetyczny, geometryczny, mieszania, …  </w:t>
        <w:br/>
        <w:t>- *nie* jest to temperatura zewnętrzna T; Θ=∂E/∂S|_σ.</w:t>
      </w:r>
    </w:p>
    <w:p>
      <w:pPr>
        <w:spacing w:line="360" w:lineRule="auto" w:after="120"/>
      </w:pPr>
      <w:r>
        <w:rPr>
          <w:b w:val="0"/>
          <w:i w:val="0"/>
        </w:rPr>
        <w:t>### 3.3 γ — lepkość medium / metryka czasu</w:t>
        <w:br/>
        <w:t xml:space="preserve">- kontroluje filtrację czasową i histerezę; indukuje przejścia szkliste;  </w:t>
        <w:br/>
        <w:t>- **nie** wchodzi do F (krajobrazu), lecz do **operatora czasu**.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4. Struktura wariacyjno-dynamiczna i SPDE</w:t>
      </w:r>
    </w:p>
    <w:p>
      <w:pPr>
        <w:spacing w:line="360" w:lineRule="auto" w:after="120"/>
      </w:pPr>
      <w:r>
        <w:rPr>
          <w:b w:val="0"/>
          <w:i w:val="0"/>
        </w:rPr>
        <w:t>### 4.1 Funkcjonał i pochodna wariacyjna</w:t>
      </w:r>
    </w:p>
    <w:p>
      <w:pPr>
        <w:spacing w:line="360" w:lineRule="auto" w:after="120"/>
      </w:pPr>
      <w:r>
        <w:rPr>
          <w:b w:val="0"/>
          <w:i w:val="0"/>
        </w:rPr>
        <w:t>Zwyczajowa postać lokalna:</w:t>
        <w:br/>
        <w:t>```</w:t>
        <w:br/>
        <w:t>F[σ] = ∫ d³x [ ½|∇σ|² + V(σ) − Θ · s(σ) ],</w:t>
        <w:br/>
        <w:t>δF/δσ = −∇²σ + V′(σ) − Θ · s′(σ).</w:t>
        <w:br/>
        <w:t>```</w:t>
      </w:r>
    </w:p>
    <w:p>
      <w:pPr>
        <w:spacing w:line="360" w:lineRule="auto" w:after="120"/>
      </w:pPr>
      <w:r>
        <w:rPr>
          <w:b w:val="0"/>
          <w:i w:val="0"/>
        </w:rPr>
        <w:t>### 4.2 Równanie ruchu (SPDE)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γ · ∂t σ = ∇²σ − V′(σ) + Θ · s′(σ) + √(2Θ) · ξ.</w:t>
      </w:r>
    </w:p>
    <w:p>
      <w:pPr>
        <w:spacing w:line="360" w:lineRule="auto" w:after="120"/>
      </w:pPr>
      <w:r>
        <w:rPr>
          <w:b w:val="0"/>
          <w:i w:val="0"/>
        </w:rPr>
        <w:t>Warunki istnienia rozwiązań (sketch): dla V Lipschitz i s wypukłej — istnieje rozwiązanie w sensie słabym; dla γ&gt;0 otrzymujemy półgrupę kontrakcyjną.</w:t>
      </w:r>
    </w:p>
    <w:p>
      <w:pPr>
        <w:spacing w:line="360" w:lineRule="auto" w:after="120"/>
      </w:pPr>
      <w:r>
        <w:rPr>
          <w:b w:val="0"/>
          <w:i w:val="0"/>
        </w:rPr>
        <w:t>### 4.3 Energia, bilans i FDT</w:t>
      </w:r>
    </w:p>
    <w:p>
      <w:pPr>
        <w:spacing w:line="360" w:lineRule="auto" w:after="120"/>
      </w:pPr>
      <w:r>
        <w:rPr>
          <w:b w:val="0"/>
          <w:i w:val="0"/>
        </w:rPr>
        <w:t>Bilans energii średniej:</w:t>
        <w:br/>
        <w:t>```</w:t>
        <w:br/>
        <w:t>d⟨F⟩/dt = − γ · ⟨(∂tσ)²⟩ + Θ · ⟨Ṡ⟩.</w:t>
        <w:br/>
        <w:t>```</w:t>
        <w:br/>
        <w:t>Równowaga: wtrysk fluktuacji = dyssypacja.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5. Ekotony: definicje, twierdzenia, algorytmy</w:t>
      </w:r>
    </w:p>
    <w:p>
      <w:pPr>
        <w:spacing w:line="360" w:lineRule="auto" w:after="120"/>
      </w:pPr>
      <w:r>
        <w:rPr>
          <w:b w:val="0"/>
          <w:i w:val="0"/>
        </w:rPr>
        <w:t>### 5.1 Definicja</w:t>
      </w:r>
    </w:p>
    <w:p>
      <w:pPr>
        <w:spacing w:line="360" w:lineRule="auto" w:after="120"/>
      </w:pPr>
      <w:r>
        <w:rPr>
          <w:b w:val="0"/>
          <w:i w:val="0"/>
        </w:rPr>
        <w:t>**Ekoton (OC):** otwarty podobszar, w którym</w:t>
        <w:br/>
        <w:t>```</w:t>
        <w:br/>
        <w:t>|∇σ| ≥ κσ  oraz  |∇Θ| ≥ κΘ</w:t>
        <w:br/>
        <w:t>```</w:t>
        <w:br/>
        <w:t>dla ustalonych progów κσ, κΘ&gt;0.</w:t>
      </w:r>
    </w:p>
    <w:p>
      <w:pPr>
        <w:spacing w:line="360" w:lineRule="auto" w:after="120"/>
      </w:pPr>
      <w:r>
        <w:rPr>
          <w:b w:val="0"/>
          <w:i w:val="0"/>
        </w:rPr>
        <w:t>### 5.2 Własności</w:t>
      </w:r>
    </w:p>
    <w:p>
      <w:pPr>
        <w:spacing w:line="360" w:lineRule="auto" w:after="120"/>
      </w:pPr>
      <w:r>
        <w:rPr>
          <w:b w:val="0"/>
          <w:i w:val="0"/>
        </w:rPr>
        <w:t xml:space="preserve">- Maksymalna czułość na perturbacje;  </w:t>
        <w:br/>
        <w:t xml:space="preserve">- Wzmożone tempo konwersji faz;  </w:t>
        <w:br/>
        <w:t>- Podpisy obserwacyjne (np. lensing edge, SFR-boost).</w:t>
      </w:r>
    </w:p>
    <w:p>
      <w:pPr>
        <w:spacing w:line="360" w:lineRule="auto" w:after="120"/>
      </w:pPr>
      <w:r>
        <w:rPr>
          <w:b w:val="0"/>
          <w:i w:val="0"/>
        </w:rPr>
        <w:t>### 5.3 Algorytm wykrywania (pseudokod)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Input: σ(x), Θ(x); thresholds κσ, κΘ</w:t>
        <w:br/>
        <w:t>1. Compute gσ = |∇σ|, gΘ = |∇Θ|</w:t>
        <w:br/>
        <w:t>2. Ecotone mask M = (gσ ≥ κσ) ∧ (gΘ ≥ κΘ)</w:t>
        <w:br/>
        <w:t>3. Connected components of M → {Ei}</w:t>
        <w:br/>
        <w:t>4. Rank {Ei} by integral of gσ·gΘ over Ei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6. Diagram fazowy w (Θ,γ)</w:t>
      </w:r>
    </w:p>
    <w:p>
      <w:pPr>
        <w:spacing w:line="360" w:lineRule="auto" w:after="120"/>
      </w:pPr>
      <w:r>
        <w:rPr>
          <w:b w:val="0"/>
          <w:i w:val="0"/>
        </w:rPr>
        <w:t>### 6.1 Cztery reżimy</w:t>
      </w:r>
    </w:p>
    <w:p>
      <w:pPr>
        <w:spacing w:line="360" w:lineRule="auto" w:after="120"/>
      </w:pPr>
      <w:r>
        <w:rPr>
          <w:b w:val="0"/>
          <w:i w:val="0"/>
        </w:rPr>
        <w:t xml:space="preserve">- **A (Rigid Coherence)**: Θ↓, γ↗ — σ→1, stabilność, screening.  </w:t>
        <w:br/>
        <w:t xml:space="preserve">- **B (Adaptive Lagoon)**: Θ~γ — optimum innowacji.  </w:t>
        <w:br/>
        <w:t xml:space="preserve">- **C (Soft Turbulence)**: Θ↗, γ↗ — σ→0, fluktuacje.  </w:t>
        <w:br/>
        <w:t>- **D (Glass Edge)**: Θ↓, γ↗ — metastabilność, bifurkacje.</w:t>
      </w:r>
    </w:p>
    <w:p>
      <w:pPr>
        <w:spacing w:line="360" w:lineRule="auto" w:after="120"/>
      </w:pPr>
      <w:r>
        <w:rPr>
          <w:b w:val="0"/>
          <w:i w:val="0"/>
        </w:rPr>
        <w:t>### 6.2 Prawa skalowania</w:t>
      </w:r>
    </w:p>
    <w:p>
      <w:pPr>
        <w:spacing w:line="360" w:lineRule="auto" w:after="120"/>
      </w:pPr>
      <w:r>
        <w:rPr>
          <w:b w:val="0"/>
          <w:i w:val="0"/>
        </w:rPr>
        <w:t xml:space="preserve">- Czas relaksacji: τ ~ γ / κ_eff(σ).  </w:t>
        <w:br/>
        <w:t xml:space="preserve">- Anti-scaling: γ_crit(N) ∝ N^(−1).  </w:t>
        <w:br/>
        <w:t>- Zależności krytyczne: ξ ~ |Θ−Θ_c|^(−ν), τ ~ |Θ−Θ_c|^(−zν).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7. Implementacja kosmologiczna (OD)</w:t>
      </w:r>
    </w:p>
    <w:p>
      <w:pPr>
        <w:spacing w:line="360" w:lineRule="auto" w:after="120"/>
      </w:pPr>
      <w:r>
        <w:rPr>
          <w:b w:val="0"/>
          <w:i w:val="0"/>
        </w:rPr>
        <w:t>### 7.1 Mapowanie Universal → Cosmology</w:t>
      </w:r>
    </w:p>
    <w:p>
      <w:pPr>
        <w:spacing w:line="360" w:lineRule="auto" w:after="120"/>
      </w:pPr>
      <w:r>
        <w:rPr>
          <w:b w:val="0"/>
          <w:i w:val="0"/>
        </w:rPr>
        <w:t xml:space="preserve">- σ: krystalizacja wymiarowa → M*²(σ), G_eff(σ).  </w:t>
        <w:br/>
        <w:t xml:space="preserve">- Θ: amplituda fluktuacji (krzywizna/entropy).  </w:t>
        <w:br/>
        <w:t>- γ: 3H + Γ_mikro (lepkość kosmologiczna).</w:t>
      </w:r>
    </w:p>
    <w:p>
      <w:pPr>
        <w:spacing w:line="360" w:lineRule="auto" w:after="120"/>
      </w:pPr>
      <w:r>
        <w:rPr>
          <w:b w:val="0"/>
          <w:i w:val="0"/>
        </w:rPr>
        <w:t>### 7.2 Trzy epoki</w:t>
      </w:r>
    </w:p>
    <w:p>
      <w:pPr>
        <w:spacing w:line="360" w:lineRule="auto" w:after="120"/>
      </w:pPr>
      <w:r>
        <w:rPr>
          <w:b w:val="0"/>
          <w:i w:val="0"/>
        </w:rPr>
        <w:t xml:space="preserve">1) Symetria: σ≈0, Θ≈Θ_max, γ minimalne.  </w:t>
        <w:br/>
        <w:t xml:space="preserve">2) Krystalizacja: spadek Θ, wzrost γ → **pinning termiczny**.  </w:t>
        <w:br/>
        <w:t>3) Stabilizacja: σ≈1 (DM-like), ekotony generują bariony.</w:t>
      </w:r>
    </w:p>
    <w:p>
      <w:pPr>
        <w:spacing w:line="360" w:lineRule="auto" w:after="120"/>
      </w:pPr>
      <w:r>
        <w:rPr>
          <w:b w:val="0"/>
          <w:i w:val="0"/>
        </w:rPr>
        <w:t>### 7.3 Równania (schemat)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F[σ;Θ] = ∫ d⁴x √−g [ E_geom(σ,g) − Θ(t) S(σ,γ,g) ]</w:t>
        <w:br/>
        <w:t>□σ − V′(σ) − (Θ+γ) S_σ − ½ R (M*²)′_σ = β(σ) T^(m).</w:t>
      </w:r>
    </w:p>
    <w:p>
      <w:pPr>
        <w:spacing w:line="360" w:lineRule="auto" w:after="120"/>
      </w:pPr>
      <w:r>
        <w:rPr>
          <w:b w:val="0"/>
          <w:i w:val="0"/>
        </w:rPr>
        <w:t>### 7.4 Predykcje (CR)</w:t>
      </w:r>
    </w:p>
    <w:p>
      <w:pPr>
        <w:spacing w:line="360" w:lineRule="auto" w:after="120"/>
      </w:pPr>
      <w:r>
        <w:rPr>
          <w:b w:val="0"/>
          <w:i w:val="0"/>
        </w:rPr>
        <w:t xml:space="preserve">- **CR1:** echo krystalizacji w CMB (skala kątowa).  </w:t>
        <w:br/>
        <w:t xml:space="preserve">- **CR2:** asymetria BAO void/halo (γ_void/γ_halo).  </w:t>
        <w:br/>
        <w:t xml:space="preserve">- **CR3:** lensing edge enhancement w ekotonach.  </w:t>
        <w:br/>
        <w:t>- **CR4:** ewolucja w(z) ≈ −1 + β(1+z)^α, β~10^−3.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8. Zastosowania poza kosmologią</w:t>
      </w:r>
    </w:p>
    <w:p>
      <w:pPr>
        <w:spacing w:line="360" w:lineRule="auto" w:after="120"/>
      </w:pPr>
      <w:r>
        <w:rPr>
          <w:b w:val="0"/>
          <w:i w:val="0"/>
        </w:rPr>
        <w:t>### 8.1 HTSC (kupraty)</w:t>
      </w:r>
    </w:p>
    <w:p>
      <w:pPr>
        <w:spacing w:line="360" w:lineRule="auto" w:after="120"/>
      </w:pPr>
      <w:r>
        <w:rPr>
          <w:b w:val="0"/>
          <w:i w:val="0"/>
        </w:rPr>
        <w:t xml:space="preserve">- Θ_total = … + Θ_mixing(θ_mix); maksimum przy θ≈45°.  </w:t>
        <w:br/>
        <w:t xml:space="preserve">- γ_family (strukturalna) ustala τ_GL i T_c ~ Θ_mixing/γ_family.  </w:t>
        <w:br/>
        <w:t>- Dwie klasy uniwersalności: standard vs infinite-layer.</w:t>
      </w:r>
    </w:p>
    <w:p>
      <w:pPr>
        <w:spacing w:line="360" w:lineRule="auto" w:after="120"/>
      </w:pPr>
      <w:r>
        <w:rPr>
          <w:b w:val="0"/>
          <w:i w:val="0"/>
        </w:rPr>
        <w:t>### 8.2 AGI i kultura</w:t>
      </w:r>
    </w:p>
    <w:p>
      <w:pPr>
        <w:spacing w:line="360" w:lineRule="auto" w:after="120"/>
      </w:pPr>
      <w:r>
        <w:rPr>
          <w:b w:val="0"/>
          <w:i w:val="0"/>
        </w:rPr>
        <w:t xml:space="preserve">- Anti-scaling: γ_crit(N) ~ 1/N; konsensus: τ ~ γ·N^(−2).  </w:t>
        <w:br/>
        <w:t>- γ jako „instytucje/filtry”; Θ jako „innowacja”; σ jako „spójność narracji”.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9. Falsyfikowalność i program badań 2025–2030</w:t>
      </w:r>
    </w:p>
    <w:p>
      <w:pPr>
        <w:spacing w:line="360" w:lineRule="auto" w:after="120"/>
      </w:pPr>
      <w:r>
        <w:rPr>
          <w:b w:val="0"/>
          <w:i w:val="0"/>
        </w:rPr>
        <w:t xml:space="preserve">- DESI/Euclid: CR2 (asymetria BAO).  </w:t>
        <w:br/>
        <w:t xml:space="preserve">- LISA/PTA: sygnał fazowego przejścia (CR3/SGWB).  </w:t>
        <w:br/>
        <w:t xml:space="preserve">- HTSC: T_c-scaling vs γ_family; nickelates.  </w:t>
        <w:br/>
        <w:t>- AGI: skaling konsensusu w ensemble LLM.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10. Słownik i notacja</w:t>
      </w:r>
    </w:p>
    <w:p>
      <w:pPr>
        <w:spacing w:line="360" w:lineRule="auto" w:after="120"/>
      </w:pPr>
      <w:r>
        <w:rPr>
          <w:b w:val="0"/>
          <w:i w:val="0"/>
        </w:rPr>
        <w:t xml:space="preserve">- σ — koherencja; Θ — temperatura informacji; γ — lepkość medium.  </w:t>
        <w:br/>
        <w:t xml:space="preserve">- F = E − ΘS; δF/δσ — pochodna wariacyjna; ξ — biały szum.  </w:t>
        <w:br/>
        <w:t>- Ekoton — region |∇σ|,|∇Θ| wysokie.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before="240" w:line="360" w:lineRule="auto"/>
      </w:pPr>
      <w:r>
        <w:rPr>
          <w:b/>
          <w:sz w:val="28"/>
        </w:rPr>
        <w:t>Aneks A: Wyprowadzenia wariacyjne</w:t>
      </w:r>
    </w:p>
    <w:p>
      <w:pPr>
        <w:spacing w:line="360" w:lineRule="auto" w:after="120"/>
      </w:pPr>
      <w:r>
        <w:rPr>
          <w:b w:val="0"/>
          <w:i w:val="0"/>
        </w:rPr>
        <w:t xml:space="preserve">1) Postać lokalna F i δF/δσ.  </w:t>
        <w:br/>
        <w:t xml:space="preserve">2) Warunki istnienia rozwiązań SPDE.  </w:t>
        <w:br/>
        <w:t>3) Bilans energii i FDT (szkic dowodu).</w:t>
      </w:r>
    </w:p>
    <w:p>
      <w:pPr>
        <w:spacing w:before="240" w:line="360" w:lineRule="auto"/>
      </w:pPr>
      <w:r>
        <w:rPr>
          <w:b/>
          <w:sz w:val="28"/>
        </w:rPr>
        <w:t>Aneks B: RG-flow w (Θ,γ)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dΘ/d lnℓ = β_Θ(Θ,γ),  dγ/d lnℓ = β_γ(Θ,Θ_floor).</w:t>
      </w:r>
    </w:p>
    <w:p>
      <w:pPr>
        <w:spacing w:before="240" w:line="360" w:lineRule="auto"/>
      </w:pPr>
      <w:r>
        <w:rPr>
          <w:b/>
          <w:sz w:val="28"/>
        </w:rPr>
        <w:t>Aneks C: Procedury numeryczne</w:t>
      </w:r>
    </w:p>
    <w:p>
      <w:pPr>
        <w:spacing w:line="360" w:lineRule="auto" w:before="120" w:after="120"/>
        <w:ind w:left="567"/>
      </w:pPr>
      <w:r>
        <w:rPr>
          <w:rFonts w:ascii="Courier New" w:hAnsi="Courier New"/>
          <w:sz w:val="22"/>
        </w:rPr>
        <w:t>Loop:</w:t>
        <w:br/>
        <w:t xml:space="preserve">  compute force = ∇²σ − V′(σ) + Θ s′(σ)</w:t>
        <w:br/>
        <w:t xml:space="preserve">  σ ← σ + (Δt/γ) [force + √(2Θ/Δt) η], clamp(σ∈[0,1])</w:t>
      </w:r>
    </w:p>
    <w:p>
      <w:pPr>
        <w:spacing w:before="240" w:line="360" w:lineRule="auto"/>
      </w:pPr>
      <w:r>
        <w:rPr>
          <w:b/>
          <w:sz w:val="28"/>
        </w:rPr>
        <w:t>Aneks D: Ramy porównawcze</w:t>
      </w:r>
    </w:p>
    <w:p>
      <w:pPr>
        <w:spacing w:line="360" w:lineRule="auto" w:after="120"/>
      </w:pPr>
      <w:r>
        <w:rPr>
          <w:b w:val="0"/>
          <w:i w:val="0"/>
        </w:rPr>
        <w:t xml:space="preserve">- GR: „krajobraz” ↔ równania Einsteina; g_00 ↔ γ.  </w:t>
        <w:br/>
        <w:t>- EFT: potencjał efektywny ↔ V(σ); fluktuacje ↔ Θ.</w:t>
      </w:r>
    </w:p>
    <w:p>
      <w:pPr>
        <w:spacing w:line="360" w:lineRule="auto" w:after="120"/>
      </w:pPr>
      <w:r>
        <w:rPr>
          <w:b w:val="0"/>
          <w:i w:val="0"/>
        </w:rPr>
        <w:t>---</w:t>
      </w:r>
    </w:p>
    <w:p>
      <w:pPr>
        <w:spacing w:line="360" w:lineRule="auto" w:after="120"/>
      </w:pPr>
      <w:r>
        <w:rPr>
          <w:b w:val="0"/>
          <w:i w:val="0"/>
        </w:rPr>
        <w:t>**Koniec rozdziału (OC, wersja kanoniczna).**</w:t>
        <w:br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