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ONTOGENESIS OF COHERENCE (OC): Unified Framework</w:t>
      </w:r>
    </w:p>
    <w:p>
      <w:pPr>
        <w:pStyle w:val="Heading2"/>
      </w:pPr>
      <w:r>
        <w:t>Appendix A — OD → EFT Mapping (μ, Σ, η)</w:t>
      </w:r>
    </w:p>
    <w:p>
      <w:r>
        <w:t>We provide mapping:</w:t>
      </w:r>
    </w:p>
    <w:p>
      <w:r>
        <w:t>μ(a,k) = 𝒜(a)(1+ε)</w:t>
      </w:r>
    </w:p>
    <w:p>
      <w:r>
        <w:t>η(a,k) = (1-ε)/(1+ε)</w:t>
      </w:r>
    </w:p>
    <w:p>
      <w:r>
        <w:t>Σ(a,k) = 𝒜(a)</w:t>
      </w:r>
    </w:p>
    <w:p>
      <w:r>
        <w:t>ε = 2β²k²/(k²+a²m_eff²)</w:t>
      </w:r>
    </w:p>
    <w:p>
      <w:r>
        <w:t>𝒜(a) = M_Pl² / M_*²(σ̄(a))</w:t>
      </w:r>
    </w:p>
    <w:p>
      <w:pPr>
        <w:pStyle w:val="Heading2"/>
      </w:pPr>
      <w:r>
        <w:t>Appendix B — Stability and No-Ghost Conditions</w:t>
      </w:r>
    </w:p>
    <w:p>
      <w:r>
        <w:t>Tensor sector:</w:t>
      </w:r>
    </w:p>
    <w:p>
      <w:r>
        <w:t>c_T² = 1,  Q_T = M_*²/2 &gt; 0</w:t>
      </w:r>
    </w:p>
    <w:p>
      <w:r>
        <w:t>Scalar sector:</w:t>
      </w:r>
    </w:p>
    <w:p>
      <w:r>
        <w:t>Q_s = 1 + 3(M_*')²/(2M_*²)</w:t>
      </w:r>
    </w:p>
    <w:p>
      <w:r>
        <w:t>c_s² = M_*²/Q_s</w:t>
      </w:r>
    </w:p>
    <w:p>
      <w:r>
        <w:t>Conditions: Q_s &gt; 0, c_s² &gt; 0</w:t>
      </w:r>
    </w:p>
    <w:p>
      <w:pPr>
        <w:pStyle w:val="Heading2"/>
      </w:pPr>
      <w:r>
        <w:t>Appendix C — Full FLRW Numerical Solver</w:t>
      </w:r>
    </w:p>
    <w:p>
      <w:r>
        <w:t>σ¨ + 3Hσ˙ + V'(σ)+c_T T² σ = ½ M_*'(σ) R</w:t>
      </w:r>
    </w:p>
    <w:p>
      <w:r>
        <w:t>H² = (ρ_m+ρ_r+ρ_σ)/(3M_*²)</w:t>
      </w:r>
    </w:p>
    <w:p>
      <w:r>
        <w:t>T(z)=T₀(1+z)</w:t>
      </w:r>
    </w:p>
    <w:p>
      <w:pPr>
        <w:pStyle w:val="Heading2"/>
      </w:pPr>
      <w:r>
        <w:t>Appendix D — Consistency Relations CR1–CR3</w:t>
      </w:r>
    </w:p>
    <w:p>
      <w:r>
        <w:t>CR1:</w:t>
      </w:r>
    </w:p>
    <w:p>
      <w:r>
        <w:t>d_L^GW = d_L^EM * exp[½∫ α_M d ln(1+z)]</w:t>
      </w:r>
    </w:p>
    <w:p>
      <w:r>
        <w:t>CR2:</w:t>
      </w:r>
    </w:p>
    <w:p>
      <w:r>
        <w:t>Δκ_void / Δκ_cluster = const</w:t>
      </w:r>
    </w:p>
    <w:p>
      <w:r>
        <w:t>CR3:</w:t>
      </w:r>
    </w:p>
    <w:p>
      <w:r>
        <w:t>κ_edge ∝ |∇σ|</w:t>
      </w:r>
    </w:p>
    <w:p>
      <w:pPr>
        <w:pStyle w:val="Heading2"/>
      </w:pPr>
      <w:r>
        <w:t>Appendix E — Screening Radius for NFW Halos</w:t>
      </w:r>
    </w:p>
    <w:p>
      <w:r>
        <w:t>r_scr satisfies:</w:t>
      </w:r>
    </w:p>
    <w:p>
      <w:r>
        <w:t>m_eff(r_scr) r_scr = 1</w:t>
      </w:r>
    </w:p>
    <w:p>
      <w:r>
        <w:t>ρ_NFW = ρ_s /[(r/r_s)(1+r/r_s)²]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