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>
            <w:pPr>
              <w:rPr>
                <w:ins w:id="20039" w:author="Paweł Mamcarz" w:date="2026-10-03T14:00:00Z"/>
              </w:rPr>
            </w:pPr>
            <w:ins w:id="2004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  <w:p>
            <w:pPr>
              <w:rPr>
                <w:ins w:id="20041" w:author="Paweł Mamcarz" w:date="2026-10-03T14:00:00Z"/>
              </w:rPr>
            </w:pPr>
            <w:ins w:id="2004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Jest szablon zgody i klauzula RODO dla badania naukowego; brak wzoru umowy powierzenia i inspektora. Projekt dla ścieżki Fundacji: Zał. 4.</w:t>
              </w:r>
            </w:ins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  <w:p>
            <w:pPr>
              <w:rPr>
                <w:ins w:id="20001" w:author="Paweł Mamcarz" w:date="2026-10-03T14:00:00Z"/>
              </w:rPr>
            </w:pPr>
            <w:ins w:id="2000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rejestracja wstępna jeszcze niezłożona (do zrobienia przed zbieraniem danych, harmonogram do aktualizacji); wstępnie dwie firmy zainteresowane; pilotaż: jedna firma z kontaktów Emilki i jedna z moich kontaktów</w:t>
              </w:r>
              <w:r>
                <w:rPr>
                  <w:highlight w:val="yellow"/>
                </w:rPr>
                <w:t xml:space="preserve"> [do potwierdzenia; termin do ustalenia]</w:t>
              </w:r>
              <w:r>
                <w:rPr/>
                <w:t xml:space="preserve">. Zał. 2.</w:t>
              </w:r>
            </w:ins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  <w:p>
            <w:pPr>
              <w:rPr>
                <w:ins w:id="30001" w:author="Paweł Mamcarz" w:date="2026-10-04T10:00:00Z"/>
              </w:rPr>
            </w:pPr>
            <w:ins w:id="30002" w:author="Paweł Mamcarz" w:date="2026-10-04T10:00:00Z">
              <w:r>
                <w:rPr>
                  <w:b/>
                </w:rPr>
                <w:t xml:space="preserve">Odp. Pawła: </w:t>
              </w:r>
              <w:r>
                <w:rPr/>
                <w:t xml:space="preserve">Uwaga po weryfikacji źródeł (4.10.2026): protokół walidacji używa skal z literatury. Skala UWES jest bezpłatna tylko do celów akademickich, a użycie w płatnej usłudze wymaga umowy z autorami. Dla skal Edmondson, Van Dyne i Teppera nie znaleziono jawnej licencji, co nie oznacza zgody. Jeśli zostajemy przy pytaniach Ipsos, ryzyka licencyjnego nie ma, ale protokół trzeba zmienić. Zał. 2.</w:t>
              </w:r>
            </w:ins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  <w:p>
            <w:pPr>
              <w:rPr>
                <w:ins w:id="20003" w:author="Paweł Mamcarz" w:date="2026-10-03T14:00:00Z"/>
              </w:rPr>
            </w:pPr>
            <w:ins w:id="2000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wskazuje osiem zmiennych skutku: rotacja dobrowolna, błędy i defekty na 1000 godzin, zgłoszone pomysły, zaangażowanie (UWES-9), absencja, dzielenie się wiedzą (podskala milczenia uległego), narzut kierowniczy i poczucie bezpieczeństwa (PS-7). Większość pochodzi z rejestrów firmy, nie z badania Ipsos, więc spójność z raportem Ipsos sprawdzamy z psychometrą. Zał. 2 i 3.</w:t>
              </w:r>
            </w:ins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  <w:p>
            <w:pPr>
              <w:rPr>
                <w:ins w:id="20005" w:author="Paweł Mamcarz" w:date="2026-10-03T14:00:00Z"/>
              </w:rPr>
            </w:pPr>
            <w:ins w:id="2000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Wersja badawcza ma około 35 pozycji (PS-7, skala milczenia Van Dyne z 15 pozycjami, UWES-9, kontekst), czyli około 10 minut na osobę. Ostateczną długość ustala twórca narzędzia; przejście na pytania Ipsos zmieni zarówno długość, jak i protokół. Zał. 2.</w:t>
              </w:r>
            </w:ins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(283)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Ustalenie autora z Fundacją: autor przekazuje Fundacji kalkulator wraz ze swoją pracą w zamian za udział w zyskach i wspiera sprzedaż. Do spisania z prawnikiem: forma przekazania praw i licencja (dziś kod jest na MIT, więc każdy może go kopiować).</w:t>
              </w:r>
            </w:ins>
          </w:p>
          <w:p>
            <w:pPr>
              <w:rPr>
                <w:ins w:id="20007" w:author="Paweł Mamcarz" w:date="2026-10-03T14:00:00Z"/>
              </w:rPr>
            </w:pPr>
            <w:ins w:id="20008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Pełna wersja na silence-tax.com (13 modułów kosztów, katalog interwencji z optymalizatorem, materiały akademickie) to osobne repozytorium, także na licencji MIT, tego samego autora. Wersja FNP celowo jej nie zawiera. Pytanie o prawa Fundacji dotyczy więc obu repozytoriów.</w:t>
              </w:r>
            </w:ins>
          </w:p>
          <w:p>
            <w:pPr>
              <w:rPr>
                <w:ins w:id="30003" w:author="Paweł Mamcarz" w:date="2026-10-04T10:00:00Z"/>
              </w:rPr>
            </w:pPr>
            <w:ins w:id="30004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silnik obliczeń jest teraz jeden, wspólny dla kalkulatora FNP i silence-tax.com.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  <w:p>
            <w:pPr>
              <w:rPr>
                <w:ins w:id="20009" w:author="Paweł Mamcarz" w:date="2026-10-03T14:00:00Z"/>
              </w:rPr>
            </w:pPr>
            <w:ins w:id="2001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Zestawienie wszystkich założeń z wartościami i statusem (autorski prior, źródło prywatne w audycie, do weryfikacji) jest w Zał. 1.</w:t>
              </w:r>
            </w:ins>
          </w:p>
          <w:p>
            <w:pPr>
              <w:rPr>
                <w:ins w:id="30005" w:author="Paweł Mamcarz" w:date="2026-10-04T10:00:00Z"/>
              </w:rPr>
            </w:pPr>
            <w:ins w:id="30006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odniesienie rotacji 14,8% nie pochodzi z GUS. W publikacji, której je przypisywano, tej wartości nie ma; GUS podaje współczynnik zwolnień 19,7% (2023) i 18,7% (2024), obejmujący wszystkie odejścia. Model używa 14,8% tylko wtedy, gdy firma nie poda rotacji, a strona mówi wprost, że pochodzenie tej liczby jest nieustalone.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  <w:p>
            <w:pPr>
              <w:rPr>
                <w:ins w:id="20011" w:author="Paweł Mamcarz" w:date="2026-10-03T14:00:00Z"/>
              </w:rPr>
            </w:pPr>
            <w:ins w:id="20012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W głównym repozytorium granice P10–P90 są nazywane granicami scenariusza (percentyle propagacji priorów), nie przedziałem ufności. Taki język proponuję w ofercie. Zał. 1, sekcja 5.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  <w:p>
            <w:pPr>
              <w:rPr>
                <w:ins w:id="30007" w:author="Paweł Mamcarz" w:date="2026-10-04T10:00:00Z"/>
              </w:rPr>
            </w:pPr>
            <w:ins w:id="30008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sprawdziliśmy 46 cytowanych źródeł (czy istnieją, czy dane są poprawne, czy mówią to, co im przypisano). Kilka przypisań było błędnych i zostało poprawionych na stronie i w dokumentach. Z liczb Ipsos zostały tylko te potwierdzone publicznie (71%, 42%, 85% wobec 59%).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>
            <w:pPr>
              <w:rPr>
                <w:ins w:id="20013" w:author="Paweł Mamcarz" w:date="2026-10-03T14:00:00Z"/>
              </w:rPr>
            </w:pPr>
            <w:ins w:id="20014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W głównym repozytorium jest skrypt wsadowy, który przelicza wynik ankiety (skala 1–7 albo 0–100) na klimat 0–100 i liczy model dla każdej firmy z pliku CSV, zapisując predykcje przed porównaniem z wynikami. Audyt z 3.10.2026 wykazał, że liczył inny model niż silnik (m.in. odwrotnie liczoną utratę informacji w hierarchii), więc jego wyników nie używamy. Zastąpiło go nowe narzędzie wsadowe, które woła obecny model FNP, daje powtarzalny wynik i zestawia dwa pomiary tej samej firmy. Protokół traktuje wynik PS-7 przeskalowany do 0–100 jako główne wejście modelu.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Bez podanej rotacji model przyjmuje odniesienie 14,8% (po korekcie modelu z 3.10.2026; wcześniej liczył to inną ścieżką i zawyżał kwotę). Deklarowana rotacja działa tylko jako górne ograniczenie. Klimat bez ankiety to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  <w:p>
            <w:pPr>
              <w:rPr>
                <w:ins w:id="20015" w:author="Paweł Mamcarz" w:date="2026-10-03T14:00:00Z"/>
              </w:rPr>
            </w:pPr>
            <w:ins w:id="20016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Pełna lista danych (41 pól w 6 sekcjach, z oznaczeniem, które są potrzebne do Kalkulatora) jest w Zał. 3. Do samego Kalkulatora wystarczą 4 pola oraz szacunek klimatu.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  <w:p>
            <w:pPr>
              <w:rPr>
                <w:ins w:id="20017" w:author="Paweł Mamcarz" w:date="2026-10-03T14:00:00Z"/>
              </w:rPr>
            </w:pPr>
            <w:ins w:id="20018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Protokół wskazuje progi: firmy od 50 FTE (poniżej hierarchia jest płytka, a silnik prawdopodobnie przeszacowuje) oraz co najmniej 15 ważnych odpowiedzi na firmę do stabilnej średniej firmowej. To progi projektowe autora, nie ustalone przez psychometrę. Zał. 2.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>
            <w:pPr>
              <w:rPr>
                <w:ins w:id="20019" w:author="Paweł Mamcarz" w:date="2026-10-03T14:00:00Z"/>
              </w:rPr>
            </w:pPr>
            <w:ins w:id="2002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  <w:p>
            <w:pPr>
              <w:rPr>
                <w:ins w:id="20021" w:author="Paweł Mamcarz" w:date="2026-10-03T14:00:00Z"/>
              </w:rPr>
            </w:pPr>
            <w:ins w:id="20022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Plan testu istnieje: protokół walidacji z hipotezami H1–H5 i kryterium obalenia (korelacja poniżej 0,15 przy co najmniej 60 firmach). Faza A na 15 firmach jest dla poziomu firmy eksploracyjna. Wyników na razie nie ma. Szczegółowy protokół powstał przed przebudową modelu z lipca 2026 i wymaga aktualizacji. Pierwsza firma pilotażowa może wejść do fazy A. Zał. 2.</w:t>
              </w:r>
            </w:ins>
          </w:p>
          <w:p>
            <w:pPr>
              <w:rPr>
                <w:ins w:id="30009" w:author="Paweł Mamcarz" w:date="2026-10-04T10:00:00Z"/>
              </w:rPr>
            </w:pPr>
            <w:ins w:id="30010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przegląd logiki modelu wykrył i naprawił cztery błędy niezależne od danych (opis: Zał. 1, sekcja 7). Kwota firmy przykładowej spadła z 3,32 do 3,12 mln zł. To nie zastępuje testu na danych firm. Kryterium obalenia w protokole wymaga przeliczenia (jego uzasadnienie statystyczne było błędne).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  <w:p>
            <w:pPr>
              <w:rPr>
                <w:ins w:id="20023" w:author="Paweł Mamcarz" w:date="2026-10-03T14:00:00Z"/>
              </w:rPr>
            </w:pPr>
            <w:ins w:id="20024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  <w:p>
            <w:pPr>
              <w:rPr>
                <w:ins w:id="30011" w:author="Paweł Mamcarz" w:date="2026-10-04T10:00:00Z"/>
              </w:rPr>
            </w:pPr>
            <w:ins w:id="30012" w:author="Paweł Mamcarz" w:date="2026-10-04T10:00:00Z">
              <w:r>
                <w:rPr>
                  <w:b/>
                </w:rPr>
                <w:t xml:space="preserve">Aktualizacja: </w:t>
              </w:r>
              <w:r>
                <w:rPr/>
                <w:t xml:space="preserve">(4.10.2026) nowe narzędzie wsadowe zestawia dwa pomiary tej samej firmy (klimat i scenariusz przed i po) i samo zaznacza, że to różnica scenariuszy, a nie dowód efektu programu. Metoda statystyczna przed/po nadal do zaprojektowania.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>
            <w:pPr>
              <w:rPr>
                <w:ins w:id="20025" w:author="Paweł Mamcarz" w:date="2026-10-03T14:00:00Z"/>
              </w:rPr>
            </w:pPr>
            <w:ins w:id="2002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Tak, faza A walidacji może być wspólnym pilotażem ankiety i Kalkulatora, jeśli Fundacja przyjmie jej zasady (firma od 50 FTE, co najmniej 15 respondentów, dane z rejestrów, zgoda). Starszy szablon zaproszenia obiecywał firmom bezpłatny raport indywidualny; trzeba to uzgodnić z modelem ścieżki płatnej. Zał. 2 i 4.</w:t>
              </w:r>
            </w:ins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>
            <w:pPr>
              <w:rPr>
                <w:ins w:id="20027" w:author="Paweł Mamcarz" w:date="2026-10-03T14:00:00Z"/>
              </w:rPr>
            </w:pPr>
            <w:ins w:id="2002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 głównym repozytorium jest kod infrastruktury ankiety (czy jest wdrożona, do potwierdzenia): Worker na Cloudflare z magazynem KV (anonimowe odpowiedzi, kody firm, haszowany e-mail zgody, limity zapytań, eksport CSV tylko z tokenem administratora) i czterokrokowy formularz zgłoszenia firmy. Nie wymaga zakupu licencji, ale działałaby na koncie Cloudflare autora. Bez ustawionej lokalizacji danych w UE i bez automatycznego usuwania po okresie przechowywania; to trzeba wdrożyć albo wybrać inną platformę. Zał. 4.</w:t>
              </w:r>
            </w:ins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  <w:p>
            <w:pPr>
              <w:rPr>
                <w:ins w:id="20029" w:author="Paweł Mamcarz" w:date="2026-10-03T14:00:00Z"/>
              </w:rPr>
            </w:pPr>
            <w:ins w:id="2003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raporty przygotowuje autor: skrypt wsadowy (CSV na predykcje), 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  <w:p>
            <w:pPr>
              <w:rPr>
                <w:ins w:id="20031" w:author="Paweł Mamcarz" w:date="2026-10-03T14:00:00Z"/>
              </w:rPr>
            </w:pPr>
            <w:ins w:id="2003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  <w:p>
            <w:pPr>
              <w:rPr>
                <w:ins w:id="20033" w:author="Paweł Mamcarz" w:date="2026-10-03T14:00:00Z"/>
              </w:rPr>
            </w:pPr>
            <w:ins w:id="2003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Inspektora ochrony danych w materiałach nie ma. Zaproszenie zawiera stwierdzenie o niskim ryzyku reidentyfikacji, ale odrębnego dokumentu oceny skutków nie znalazłem. Do wskazania w Fundacji. Zał. 4.</w:t>
              </w:r>
            </w:ins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>
            <w:pPr>
              <w:rPr>
                <w:ins w:id="20035" w:author="Paweł Mamcarz" w:date="2026-10-03T14:00:00Z"/>
              </w:rPr>
            </w:pPr>
            <w:ins w:id="20036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Sam Kalkulator FNP nie zbiera danych, ale w głównym repozytorium jest Worker ankiety badania walidacyjnego. Zgoda tam obejmuje cel naukowy, 5 lat przechowywania i zanonimizowany zbiór po publikacji. Nie obejmuje użycia danych z płatnych diagnoz do benchmarku ani rozwoju Kalkulatora: to wymaga zapisu w umowie z klientem (krok 10). Zał. 4.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  <w:p>
            <w:pPr>
              <w:rPr>
                <w:ins w:id="20037" w:author="Paweł Mamcarz" w:date="2026-10-03T14:00:00Z"/>
              </w:rPr>
            </w:pPr>
            <w:ins w:id="2003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Zał. 2.</w:t>
              </w:r>
            </w:ins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>
      <w:pPr>
        <w:rPr>
          <w:ins w:id="20043" w:author="Paweł Mamcarz" w:date="2026-10-03T14:00:00Z"/>
        </w:rPr>
      </w:pPr>
      <w:ins w:id="20044" w:author="Paweł Mamcarz" w:date="2026-10-03T14:00:00Z">
        <w:r>
          <w:rPr>
            <w:b/>
          </w:rPr>
          <w:t xml:space="preserve">Załączniki: </w:t>
        </w:r>
        <w:r>
          <w:rPr/>
          <w:t xml:space="preserve">1. Założenia Kalkulatora i ich status; 2. Protokół walidacji ankiety i Kalkulatora; 3. Formularz danych firmy; 4. Zgoda i informacja o danych (projekt, do weryfikacji prawnej). Pliki w katalogu dla-fundacji.</w:t>
        </w:r>
      </w:ins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