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A44"/>
          <w:sz w:val="28"/>
        </w:rPr>
        <w:t>Kalkulator Rezyliencji FNP: co wiemy, czego nie wiemy, co sprawdzi walidacja</w:t>
      </w:r>
    </w:p>
    <w:p>
      <w:r>
        <w:t>Stan na 4 października 2026 r. Jedna strona na spotkanie 6 października. Szczegóły: docs/BRIEF-KALKULATOR-ODPOWIEDZI.md i załączniki w docs/dla-fundacji/.</w:t>
      </w:r>
    </w:p>
    <w:p>
      <w:pPr>
        <w:spacing w:before="120"/>
      </w:pPr>
      <w:r>
        <w:rPr>
          <w:b/>
          <w:color w:val="1F2A44"/>
          <w:sz w:val="22"/>
        </w:rPr>
        <w:t>Co to jest</w:t>
      </w:r>
    </w:p>
    <w:p>
      <w:r>
        <w:t xml:space="preserve">Kalkulator pokazuje </w:t>
      </w:r>
      <w:r>
        <w:rPr>
          <w:b/>
        </w:rPr>
        <w:t>scenariusz skali</w:t>
      </w:r>
      <w:r>
        <w:t>: ile mogłyby kosztować rotacja, późno zgłaszane błędy i wypalenie w firmie o podanych danych i podanym klimacie. To nie jest pomiar, wycena, prognoza ani obietnica oszczędności.</w:t>
      </w:r>
    </w:p>
    <w:p>
      <w:pPr>
        <w:spacing w:before="120"/>
      </w:pPr>
      <w:r>
        <w:rPr>
          <w:b/>
          <w:color w:val="1F2A44"/>
          <w:sz w:val="22"/>
        </w:rPr>
        <w:t>Co wiemy</w:t>
      </w:r>
    </w:p>
    <w:p>
      <w:pPr>
        <w:pStyle w:val="ListBullet"/>
        <w:spacing w:after="20"/>
      </w:pPr>
      <w:r>
        <w:rPr>
          <w:b/>
        </w:rPr>
        <w:t>Rachunek jest sprawdzony.</w:t>
      </w:r>
      <w:r>
        <w:t xml:space="preserve"> Model ma 283 testy, a 3 października przeszedł przegląd logiki, który naprawił cztery błędy niezależne od danych. Firma przykładowa (500 etatów, 100 mln zł przychodu, klimat 41): 3,12 mln zł, od 2,36 do 3,94 mln zł.</w:t>
      </w:r>
    </w:p>
    <w:p>
      <w:pPr>
        <w:pStyle w:val="ListBullet"/>
        <w:spacing w:after="20"/>
      </w:pPr>
      <w:r>
        <w:rPr>
          <w:b/>
        </w:rPr>
        <w:t>Założenia są jawne.</w:t>
      </w:r>
      <w:r>
        <w:t xml:space="preserve"> Każda liczba w modelu ma opisany status: założenie autora, wartość przypisana raportowi Ipsos albo wartość o nieustalonym pochodzeniu (Zał. 1).</w:t>
      </w:r>
    </w:p>
    <w:p>
      <w:pPr>
        <w:pStyle w:val="ListBullet"/>
        <w:spacing w:after="20"/>
      </w:pPr>
      <w:r>
        <w:rPr>
          <w:b/>
        </w:rPr>
        <w:t>Źródła są sprawdzone.</w:t>
      </w:r>
      <w:r>
        <w:t xml:space="preserve"> 46 cytowanych prac zweryfikowano: czy istnieją i czy mówią to, co im przypisano. Badania uzasadniają mechanizm (strach, milczenie, ukrywanie błędów), nie przeliczniki na złote.</w:t>
      </w:r>
    </w:p>
    <w:p>
      <w:pPr>
        <w:pStyle w:val="ListBullet"/>
        <w:spacing w:after="20"/>
      </w:pPr>
      <w:r>
        <w:rPr>
          <w:b/>
        </w:rPr>
        <w:t>Narzędzia są gotowe do pilotażu:</w:t>
      </w:r>
      <w:r>
        <w:t xml:space="preserve"> kalkulator na stronie, narzędzie do liczenia wielu firm z wyników ankiety i do zestawienia dwóch pomiarów, formularz danych firmy (Zał. 3), demonstracja na konferencję (Rotunda).</w:t>
      </w:r>
    </w:p>
    <w:p>
      <w:pPr>
        <w:spacing w:before="120"/>
      </w:pPr>
      <w:r>
        <w:rPr>
          <w:b/>
          <w:color w:val="1F2A44"/>
          <w:sz w:val="22"/>
        </w:rPr>
        <w:t>Czego nie wiemy</w:t>
      </w:r>
    </w:p>
    <w:p>
      <w:pPr>
        <w:pStyle w:val="ListBullet"/>
        <w:spacing w:after="20"/>
      </w:pPr>
      <w:r>
        <w:rPr>
          <w:b/>
        </w:rPr>
        <w:t>Czy kwoty są trafne.</w:t>
      </w:r>
      <w:r>
        <w:t xml:space="preserve"> Modelu nie sprawdzono na danych żadnej firmy. Przeliczniki pieniężne (np. koszt zastąpienia pracownika równy 0,75 rocznej płacy) są założeniami autora.</w:t>
      </w:r>
    </w:p>
    <w:p>
      <w:pPr>
        <w:pStyle w:val="ListBullet"/>
        <w:spacing w:after="20"/>
      </w:pPr>
      <w:r>
        <w:rPr>
          <w:b/>
        </w:rPr>
        <w:t>Czy model jest zgodny z tabelami Ipsos.</w:t>
      </w:r>
      <w:r>
        <w:t xml:space="preserve"> Końce krzywych przypisano raportowi Ipsos × FNP, ale audytu tabel nie było. Publicznie potwierdzone są tylko niektóre liczby (71%, 42%, 85% wobec 59%).</w:t>
      </w:r>
    </w:p>
    <w:p>
      <w:pPr>
        <w:pStyle w:val="ListBullet"/>
        <w:spacing w:after="20"/>
      </w:pPr>
      <w:r>
        <w:rPr>
          <w:b/>
        </w:rPr>
        <w:t>Skąd pochodzi 14,8% rotacji.</w:t>
      </w:r>
      <w:r>
        <w:t xml:space="preserve"> Nie z GUS. GUS podaje 19,7% (2023) i 18,7% (2024) dla wszystkich odejść. Model używa 14,8% tylko wtedy, gdy firma nie poda rotacji.</w:t>
      </w:r>
    </w:p>
    <w:p>
      <w:pPr>
        <w:pStyle w:val="ListBullet"/>
        <w:spacing w:after="20"/>
      </w:pPr>
      <w:r>
        <w:rPr>
          <w:b/>
        </w:rPr>
        <w:t>Jak przeliczać wynik ankiety na klimat 0–100.</w:t>
      </w:r>
      <w:r>
        <w:t xml:space="preserve"> Dziś klimat to szacunek własny jednej osoby. Przeliczenie średniej z ankiety na tę skalę jest założeniem.</w:t>
      </w:r>
    </w:p>
    <w:p>
      <w:pPr>
        <w:pStyle w:val="ListBullet"/>
        <w:spacing w:after="20"/>
      </w:pPr>
      <w:r>
        <w:rPr>
          <w:b/>
        </w:rPr>
        <w:t>Jak mierzyć zmianę.</w:t>
      </w:r>
      <w:r>
        <w:t xml:space="preserve"> Narzędzie zestawia dwa pomiary, ale metody, która odróżni efekt programu od przypadku, jeszcze nie ma.</w:t>
      </w:r>
    </w:p>
    <w:p>
      <w:pPr>
        <w:spacing w:before="120"/>
      </w:pPr>
      <w:r>
        <w:rPr>
          <w:b/>
          <w:color w:val="1F2A44"/>
          <w:sz w:val="22"/>
        </w:rPr>
        <w:t>Co sprawdzi walidacja</w:t>
      </w:r>
    </w:p>
    <w:p>
      <w:pPr>
        <w:pStyle w:val="ListNumber"/>
        <w:spacing w:after="20"/>
      </w:pPr>
      <w:r>
        <w:rPr>
          <w:b/>
        </w:rPr>
        <w:t>Czy ankieta mierzy to, co ma mierzyć</w:t>
      </w:r>
      <w:r>
        <w:t xml:space="preserve"> na poziomie zespołu (z psychometrą).</w:t>
      </w:r>
    </w:p>
    <w:p>
      <w:pPr>
        <w:pStyle w:val="ListNumber"/>
        <w:spacing w:after="20"/>
      </w:pPr>
      <w:r>
        <w:rPr>
          <w:b/>
        </w:rPr>
        <w:t>Czy scenariusz idzie w parze z danymi firm:</w:t>
      </w:r>
      <w:r>
        <w:t xml:space="preserve"> rotacją, absencją, błędami, zgłoszonymi pomysłami (Zał. 2 i 3).</w:t>
      </w:r>
    </w:p>
    <w:p>
      <w:pPr>
        <w:pStyle w:val="ListNumber"/>
        <w:spacing w:after="20"/>
      </w:pPr>
      <w:r>
        <w:rPr>
          <w:b/>
        </w:rPr>
        <w:t>Czy zmiana po działaniach jest widoczna</w:t>
      </w:r>
      <w:r>
        <w:t xml:space="preserve"> w ponownym pomiarze, z porównaniem zespołów objętych i nieobjętych.</w:t>
      </w:r>
    </w:p>
    <w:p>
      <w:r>
        <w:t>Plan zakłada 15 firm w pierwszej fazie (wynik orientacyjny) i co najmniej 61 dla wniosku potwierdzającego. Stan: dwie firmy wstępnie zainteresowane, pilotaż nierozpoczęty, protokół niezarejestrowany.</w:t>
      </w:r>
    </w:p>
    <w:p>
      <w:pPr>
        <w:spacing w:before="120"/>
      </w:pPr>
      <w:r>
        <w:rPr>
          <w:b/>
          <w:color w:val="1F2A44"/>
          <w:sz w:val="22"/>
        </w:rPr>
        <w:t>Decyzje na spotkanie</w:t>
      </w:r>
    </w:p>
    <w:p>
      <w:pPr>
        <w:pStyle w:val="ListNumber"/>
        <w:spacing w:after="20"/>
      </w:pPr>
      <w:r>
        <w:rPr>
          <w:b/>
        </w:rPr>
        <w:t>Skale ankiety:</w:t>
      </w:r>
      <w:r>
        <w:t xml:space="preserve"> pytania Ipsos czy skale z literatury. Skala UWES wymaga umowy przy użyciu komercyjnym; dla pozostałych nie znaleziono jawnej licencji.</w:t>
      </w:r>
    </w:p>
    <w:p>
      <w:pPr>
        <w:pStyle w:val="ListNumber"/>
        <w:spacing w:after="20"/>
      </w:pPr>
      <w:r>
        <w:rPr>
          <w:b/>
        </w:rPr>
        <w:t>Prawa do narzędzia:</w:t>
      </w:r>
      <w:r>
        <w:t xml:space="preserve"> autor przekazuje Fundacji kalkulator wraz ze swoją pracą w zamian za udział w zyskach i wspiera sprzedaż. Do spisania: umowa i licencja (dziś kod jest na MIT).</w:t>
      </w:r>
    </w:p>
    <w:p>
      <w:pPr>
        <w:pStyle w:val="ListNumber"/>
        <w:spacing w:after="20"/>
      </w:pPr>
      <w:r>
        <w:rPr>
          <w:b/>
        </w:rPr>
        <w:t>Dane:</w:t>
      </w:r>
      <w:r>
        <w:t xml:space="preserve"> kto jest administratorem, jak długo je trzymamy, czy mogą zasilać benchmark (Zał. 4).</w:t>
      </w:r>
    </w:p>
    <w:p>
      <w:pPr>
        <w:pStyle w:val="ListNumber"/>
        <w:spacing w:after="20"/>
      </w:pPr>
      <w:r>
        <w:rPr>
          <w:b/>
        </w:rPr>
        <w:t>Pilotaż:</w:t>
      </w:r>
      <w:r>
        <w:t xml:space="preserve"> która firma, kiedy, i kto rejestruje protokół.</w:t>
      </w:r>
    </w:p>
    <w:p>
      <w:pPr>
        <w:pStyle w:val="ListNumber"/>
        <w:spacing w:after="20"/>
      </w:pPr>
      <w:r>
        <w:rPr>
          <w:b/>
        </w:rPr>
        <w:t>Tabele Ipsos:</w:t>
      </w:r>
      <w:r>
        <w:t xml:space="preserve"> dostęp do pełnego raportu, żeby zamknąć audyt.</w:t>
      </w:r>
    </w:p>
    <w:sectPr w:rsidR="00FC693F" w:rsidRPr="0006063C" w:rsidSect="00034616">
      <w:pgSz w:w="12240" w:h="15840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